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B9" w:rsidRDefault="00AE7F8C" w:rsidP="009C3728">
      <w:pPr>
        <w:suppressAutoHyphens/>
        <w:spacing w:after="160" w:line="240" w:lineRule="auto"/>
        <w:jc w:val="right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</w:rPr>
      </w:pPr>
      <w:r w:rsidRPr="007B6F25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</w:rPr>
        <w:t xml:space="preserve"> Załącznik nr 1</w:t>
      </w:r>
      <w:r w:rsidR="00190EC3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</w:rPr>
        <w:t xml:space="preserve"> </w:t>
      </w:r>
      <w:r w:rsidRPr="007B6F25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</w:rPr>
        <w:t>do pisma DA.271-35-8/20</w:t>
      </w:r>
    </w:p>
    <w:p w:rsidR="005C3EB9" w:rsidRDefault="005C3EB9" w:rsidP="005C3EB9">
      <w:pPr>
        <w:suppressAutoHyphens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7B6F25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Parametry techniczne</w:t>
      </w:r>
    </w:p>
    <w:p w:rsidR="005C3EB9" w:rsidRDefault="005C3EB9" w:rsidP="005C3EB9">
      <w:pPr>
        <w:suppressAutoHyphens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7B6F25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Urządzenie aktywne pośrednie – Urządzenia aktywne/przełączniki</w:t>
      </w: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</w:t>
      </w:r>
      <w:r w:rsidRPr="007B6F25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</w:t>
      </w:r>
      <w:r w:rsidRPr="007B6F25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warstwa 2 w</w:t>
      </w: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raz z wkładami typu SFP+(7</w:t>
      </w:r>
      <w:bookmarkStart w:id="0" w:name="_GoBack"/>
      <w:bookmarkEnd w:id="0"/>
      <w:r w:rsidRPr="007B6F25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szt.</w:t>
      </w: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)</w:t>
      </w:r>
    </w:p>
    <w:p w:rsidR="005C3EB9" w:rsidRPr="005C3EB9" w:rsidRDefault="005C3EB9" w:rsidP="005C3EB9">
      <w:pPr>
        <w:suppressAutoHyphens/>
        <w:spacing w:after="16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7B6F25">
        <w:rPr>
          <w:rFonts w:ascii="Times New Roman" w:eastAsia="Times New Roman" w:hAnsi="Times New Roman" w:cs="Times New Roman"/>
          <w:color w:val="00000A"/>
          <w:sz w:val="20"/>
          <w:szCs w:val="20"/>
        </w:rPr>
        <w:t>Przełącznik sieciowy (zarządzalny – Layer 2+) – typu A</w:t>
      </w:r>
    </w:p>
    <w:tbl>
      <w:tblPr>
        <w:tblW w:w="90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4"/>
        <w:gridCol w:w="8646"/>
      </w:tblGrid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Przełącznik jako dedykowane urządzenie sieciowe o wysokości 1U przystosowanym do montowania w szafie rack.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after="160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Przełącznik wyposażony w  48 portów dostępowych Ethernet 10/100/1000 Auto-MDI/MDIX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Przełącznik wyposażony w min. 4 wbudowane porty uplink typu SFP/SFP+ obsługujące co najmniej standardy 10GBASE-USR, SR, LR, oraz 1000BASE-T, SX, LX, LH, a także BX-U i BX-D.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Przełącznik z  wbudowanym zasilaczem AC oraz wentylację. 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Przełącznik wyposażony w port konsoli oraz dedykowany interfejs Ethernet do zarządzania OOB (out-of-band). 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Przełącznik  wyposażony w min. 2 GB pamięci Flash oraz 2 GB pamięci DRAM. Przełącznik musi posiadać slot USB pozwalający na podłączenie zewnętrznego nośnika danych. Przełącznik musi umożliwiać uruchomienie systemu operacyjnego z zewnętrznego nośnika danych umieszczonego w slocie USB.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Zarządzanie urządzeniem odbywa się za pośrednictwem interfejsu linii komend (CLI) przez port konsoli, telnet, ssh, a także za pośrednictwem interfejsu WWW.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after="160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Przełącznik wyposażony w architekturę non-blocking. Wydajność przełączania w warstwie 2 nie niższaniższa niż 176 Gb/s i 130 milionów pakietów na sekundę. Przełącznik nie może obsługiwać mniej niż 16 000 adresów MAC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Przełącznik obsługuje ramki Jumbo (9216 bajtów).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Przełącznik obsługuje sieci VLAN zgodne z IEEE 802.1Q w ilości nie mniejszej niż 2048. Przełącznik obsługuje sieci VLAN oparte o porty fizyczne (port-based) i adresy MAC (MAC-based). 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Urządzenie obsługuje agregowanie połączenia zgodne z IEEE 802.3AD - nie mniej niż 128 grup LAG, maksymalna liczba portów wspieranych w grupie LAG nie mniejsza niż 8. 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Przełącznik z funkcją obsługi protokółuSpanningTree i RapidSpannigTree, , a także MultipleSpanningTree (nie mniej niż 64 instancje MSTP).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555A91" w:rsidRDefault="005C3EB9" w:rsidP="00555A91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Przełącznik z funkcją obsługi protokołu LLDP i LLDP-MED.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Urządzenie obsługuje ruting między sieciami VLAN – ruting statyczny, oraz protokół rutingu dynamicznego RIP. Ilość tras obsługiwanych sprzętowo nie mniejsza niż 512 podsieci (prefixów) i 4096 tras typu „host” (host routes). 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Mechanizmy priorytetyzowania i zarządzania ruchem sieciowym (QoS) w warstwie 2 i 3 dla ruchu wchodzącego i wychodzącego. Klasyfikacja ruchu musi odbywać się w zależności od co najmniej: interfejsu, typu ramki Ethernet, sieci VLAN, priorytetu w warstwie 2 (802.1P), adresów MAC, adresów IP, wartości pola ToS/DSCP w nagłówkach IP, portów TCP i UDP. Urządzenie musi obsługiwać sprzętowo nie mniej niż 8 kolejek per port fizyczny.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Filtrowanie ruchu na co najmniej na poziomie portu i sieci VLAN dla kryteriów z warstw 2-4. Urządzenie musi realizować sprzętowo nie mniej niż 1500 reguł filtrowania ruchu. W regułach filtrowania ruchu musi być dostępny mechanizm zliczania dla zaakceptowanych lub zablokowanych pakietów. Dostępna funkcja edycji reguł filtrowania ruchu na samym urządzeniu.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Przełącznik  obsługuje mechanizmy bezpieczeństwa jak limitowanie adresów MAC, Dynamic ARP Inspection, DHCP snooping. </w:t>
            </w:r>
          </w:p>
        </w:tc>
      </w:tr>
      <w:tr w:rsidR="005C3EB9" w:rsidRPr="00190EC3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  <w:lang w:val="en-US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/>
              </w:rPr>
              <w:t>Obsługua  IEEE 802.1Q-in-Q.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190EC3" w:rsidRDefault="005C3EB9" w:rsidP="00BB687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19"/>
              </w:numPr>
              <w:suppressAutoHyphens/>
              <w:spacing w:before="28" w:after="28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Przełącznik obsługuje IEEE 802.1X zarówno dla pojedynczego, jak i wielu suplikantów na porcie. </w:t>
            </w:r>
          </w:p>
          <w:p w:rsidR="005C3EB9" w:rsidRPr="007B6F25" w:rsidRDefault="005C3EB9" w:rsidP="00BB6872">
            <w:pPr>
              <w:numPr>
                <w:ilvl w:val="0"/>
                <w:numId w:val="19"/>
              </w:numPr>
              <w:suppressAutoHyphens/>
              <w:spacing w:before="28" w:after="28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Przełącznik przypisuje ustawienia dla użytkownika na podstawie atrybutów zwracanych przez serwer RADIUS (co najmniej VLAN oraz reguła filtrowania ruchu). Możliwość pominięcia uwierzytelnienia 802.1x dla zdefiniowanych adresów MAC.</w:t>
            </w:r>
          </w:p>
          <w:p w:rsidR="005C3EB9" w:rsidRPr="007B6F25" w:rsidRDefault="005C3EB9" w:rsidP="00BB6872">
            <w:pPr>
              <w:numPr>
                <w:ilvl w:val="0"/>
                <w:numId w:val="19"/>
              </w:numPr>
              <w:suppressAutoHyphens/>
              <w:spacing w:before="28" w:after="28"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Przełącznik obsługuje co najmniej następujące typy EAP: MD5, TLS, TTLS, PEAP.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20"/>
              </w:numPr>
              <w:suppressAutoHyphens/>
              <w:spacing w:before="28" w:after="28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Obsługa protokółu SNMP (wersje 2c i 3), oraz grupy RMON 1, 2, 3, 9. </w:t>
            </w:r>
          </w:p>
          <w:p w:rsidR="005C3EB9" w:rsidRPr="007B6F25" w:rsidRDefault="005C3EB9" w:rsidP="00BB6872">
            <w:pPr>
              <w:numPr>
                <w:ilvl w:val="0"/>
                <w:numId w:val="20"/>
              </w:numPr>
              <w:suppressAutoHyphens/>
              <w:spacing w:before="28" w:after="28"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Funkcja kopiowania (mirroring) ruchu na poziomie portu i sieci VLAN.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after="160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Możliwość uruchomienia protokołów obsługujących ruch multicast PIM-DM, PIM-SSM, PIM-SM, IGMPv1/v2/v3, MLDv1/v2. Jeśli ww. funkcjonalność jest dodatkowo licencjonowana, licencja nie jest przedmiotem niniejszego postępowania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Możliwość uruchomienia protokołu BidirectionalForwardingDetection (BFD). </w:t>
            </w:r>
          </w:p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Jeśli ww. funkcjonalność jest dodatkowo licencjonowa, licencja nie jest przedmiotem niniejszego postępowania.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Architektura systemu operacyjnego urządzenia posiada  budowę modularną (poszczególne moduły muszą działać w odseparowanych obszarach pamięci), m.in. moduł przekazywania pakietów, odpowiedzialny za przełączanie pakietów musi być oddzielony od modułu rutingu IP, odpowiedzialnego za ustalanie tras rutingu i zarządzanie urządzeniem.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Mechanizm szybkiego odtwarzania systemu i przywracania konfiguracji. W urządzeniu musi być przechowywanych min 40 poprzednich, kompletnych konfiguracji.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Możliwość stackowania z innymi urządzeniami takiego samego typu w ilości nie mniejszej niż 4 sztuki. Stackowanie powinno być możliwe przy wykorzystaniu standardowych portów typu uplink. Jeśli ww. funkcjonalność jest dodatkowo licencjonowa, licencja nie jest przedmiotem niniejszego postępowania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Całość dostarczanego sprzętu i oprogramowania pochodzi z autoryzowanego przez producenta kanału sprzedaży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u w:val="single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Wraz z urządzeniem dostarczenie:</w:t>
            </w:r>
          </w:p>
          <w:p w:rsidR="005C3EB9" w:rsidRPr="007B6F25" w:rsidRDefault="005C3EB9" w:rsidP="00BB6872">
            <w:pPr>
              <w:numPr>
                <w:ilvl w:val="0"/>
                <w:numId w:val="22"/>
              </w:numPr>
              <w:suppressAutoHyphens/>
              <w:spacing w:before="28" w:after="28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4</w:t>
            </w: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szt. modułów 10GBASE-SR SFP+ ze złączem LC duplex umożliwiających prawidłową komunikację z użyciem światłowodu wielomodowego,</w:t>
            </w:r>
          </w:p>
          <w:p w:rsidR="005C3EB9" w:rsidRPr="007B6F25" w:rsidRDefault="005C3EB9" w:rsidP="00507F35">
            <w:pPr>
              <w:numPr>
                <w:ilvl w:val="0"/>
                <w:numId w:val="22"/>
              </w:numPr>
              <w:suppressAutoHyphens/>
              <w:spacing w:before="28" w:after="28" w:line="240" w:lineRule="auto"/>
              <w:ind w:left="720" w:right="-3446" w:hanging="36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20 szt. modułów 1GBASE-SR SFP</w:t>
            </w: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ze złączem LC duplex umożliwiających prawidłową komunikację z użyciem światłowodu wielomodowego,</w:t>
            </w:r>
          </w:p>
          <w:p w:rsidR="005C3EB9" w:rsidRPr="007B6F25" w:rsidRDefault="005C3EB9" w:rsidP="00BB6872">
            <w:pPr>
              <w:suppressAutoHyphens/>
              <w:spacing w:before="28" w:after="28" w:line="240" w:lineRule="auto"/>
              <w:ind w:left="720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Dostarczone wkładki powinny by w pełni kompatybilne z dostarczonymi urządzeniami. </w:t>
            </w:r>
          </w:p>
        </w:tc>
      </w:tr>
    </w:tbl>
    <w:p w:rsidR="005C3EB9" w:rsidRDefault="005C3EB9" w:rsidP="00AE7F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5C3EB9" w:rsidRDefault="005C3EB9" w:rsidP="005C3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7B6F25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Urządzenie aktywne L3 warstwy 3 – Urządzenia</w:t>
      </w: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aktywne/przełączniki-warstwa 3</w:t>
      </w:r>
      <w:r w:rsidRPr="007B6F25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wraz z wkładami </w:t>
      </w: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typu SFP+</w:t>
      </w:r>
      <w:r w:rsidRPr="007B6F25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 (</w:t>
      </w: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1</w:t>
      </w:r>
      <w:r w:rsidRPr="007B6F25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szt) .</w:t>
      </w:r>
    </w:p>
    <w:p w:rsidR="005C3EB9" w:rsidRDefault="005C3EB9" w:rsidP="005C3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7B6F25">
        <w:rPr>
          <w:rFonts w:ascii="Times New Roman" w:eastAsia="Times New Roman" w:hAnsi="Times New Roman" w:cs="Times New Roman"/>
          <w:color w:val="00000A"/>
          <w:sz w:val="20"/>
          <w:szCs w:val="20"/>
        </w:rPr>
        <w:t>Przełącznik sieciowy (szkieletowy – warstwa 3) – typu B</w:t>
      </w:r>
    </w:p>
    <w:tbl>
      <w:tblPr>
        <w:tblW w:w="90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4"/>
        <w:gridCol w:w="8646"/>
      </w:tblGrid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Przełącznik jako dedykowane urządzenie sieciowe o wysokości 1U przystosowane do montowania w szafie rack.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620FDD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Przełącznik z wbudo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wanymi min. 24 portami SFP/SFP+ oraz min. 2 </w:t>
            </w: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porty 40 Gigabit Ethernet QSFP+.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620FDD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Przełącznik  umożliwiający rozbudowę o min.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4</w:t>
            </w: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portów uplink 40 Gigabit Ethernet QSFP+.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Wykorzystanie interfejsu QSFP+ jako 4x10GbE. Warunek ten musi być spełniony zarówno dla interfejsów wbudowanych, jak również znajdujących się w modułach uplink.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Możliwość rozbudowy o co najmniej 16 interfejsów SFP+ (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przykład -</w:t>
            </w: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 moduły uplink po 8 interfejsów każdy).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Przełącznik wspiera metodę przełączania cut-through i store-and-forward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Przełącznik umożliwia stworzenie stosu (w postaci pętli) liczącego min. 10 urządzeń. Do łączenia w stos mogą zostać zastosowane wbudowane interfejsy 40 Gigabit Ethernet.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Stos odporny na awarie, tzn. przełącznik kontrolujący pracę stosu (master) musi być automatycznie zastąpiony przełącznikiem pełniącym rolę backup’u – wybór przełącznika backup nie może odbywać się w momencie awarii przełącznika master.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Przełącznik z wymiennym zasilaczem AC. Przełącznik wyposażony w wewnętrzny redundantny zasilacz. Urządzenie posiada co najmniej 2 moduły wentylacji. Zarówno zasilacz, jak i moduł wentylacji muszą posiadać możliwość wymiany podczas pracy urządzenia (hot swap). 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Przełącznik wyposażony w port konsoli oraz dedykowany interfejs Ethernet do zarządzania OOB (out-of-band).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Zarządzanie urządzeniem za pośrednictwem interfejsu linii komend (CLI) przez port konsoli, telnet, ssh.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Wydajność przełączania w warstwie 2 nie niższa niż 1,44 Tb/s i 1 miliard pakietów na sekundę. Przełącznik z możliwością obsługi co najmniej 250 000 adresów MAC.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Przełącznik obsługujący ramki Jumbo (9000 bajtów).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Przełącznik obsługujący sieci VLAN zgodne z IEEE 802.1q w ilości nie mniejszej niż 4090. 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Urządzenie obsługujące agregowanie połączeń zgodne z IEEE 802.3ad - nie mniej niż 128 grup LAG, nie mniej niż 32 porty w grupie. 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Przełącznik obsługuje protokół SpanningTree i RapidSpannigTree, zgodnie z IEEE 802.1D-2004, a także MultipleSpanningTree zgodnie z IEEE 802.1Q-2003 (nie mniej niż 64 instancje MSTP).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Urządzenie obsługuje mechanizm Multichassis link aggregation (MC-LAG).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Rozwiązanie obsługuje protokół Data Center Bridging Exchange Protocol (DCBX), DCBX FCoE.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Możliwość obsługi ruchu FC over Ethernet (FCoE).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Przełącznik obsługuje protokół LLDP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Urządzenie obsługuje100 000 prefiksów unicast IPv4.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E41D3" w:rsidRDefault="005C3EB9" w:rsidP="00BB6872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Urządzenie obsługuje ruting statyczny oraz protokół RIP i RIPng.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E41D3" w:rsidRDefault="005C3EB9" w:rsidP="00BB6872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Urządzenie obsługuje protokół VRRP, protokół rutingu dynamicznego OSPFv2/v3 oraz rutingumulticast w postaci PIM-SM, PIM-SSM, MSDP oraz IGMP i IGMP Snooping dla wersji IGMP v1,v2 i v3. Możliwość wyboru RP metodą anycast RP.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555A91" w:rsidRDefault="005C3EB9" w:rsidP="00BB6872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Możliwość rozbudowy funkcji, np. poprzez zastosowanie licencji, o obsługę protokołów routingu dynamicznego IS-IS, BGP zarówno dla IPv4 i IPv6. Licencja nie jest przedmiotem niniejszego postępowania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Możliwość rozbudowy funkcji, np. poprzez zastosowanie licencji, o obsługę MPLS w zakresie:</w:t>
            </w:r>
          </w:p>
          <w:p w:rsidR="005C3EB9" w:rsidRPr="007B6F25" w:rsidRDefault="005C3EB9" w:rsidP="00BB6872">
            <w:pPr>
              <w:numPr>
                <w:ilvl w:val="0"/>
                <w:numId w:val="23"/>
              </w:numPr>
              <w:suppressAutoHyphens/>
              <w:spacing w:before="28" w:after="28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Sygnalizacji ścieżek za pomocą protokołów LDP i RSVP</w:t>
            </w:r>
          </w:p>
          <w:p w:rsidR="005C3EB9" w:rsidRPr="007B6F25" w:rsidRDefault="005C3EB9" w:rsidP="00BB6872">
            <w:pPr>
              <w:numPr>
                <w:ilvl w:val="0"/>
                <w:numId w:val="23"/>
              </w:numPr>
              <w:suppressAutoHyphens/>
              <w:spacing w:before="28" w:after="28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MPLS Class of Service, </w:t>
            </w:r>
          </w:p>
          <w:p w:rsidR="005C3EB9" w:rsidRPr="007B6F25" w:rsidRDefault="005C3EB9" w:rsidP="00BB6872">
            <w:pPr>
              <w:numPr>
                <w:ilvl w:val="0"/>
                <w:numId w:val="23"/>
              </w:numPr>
              <w:suppressAutoHyphens/>
              <w:spacing w:before="28" w:after="28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LSP Ping, </w:t>
            </w:r>
          </w:p>
          <w:p w:rsidR="005C3EB9" w:rsidRPr="007B6F25" w:rsidRDefault="005C3EB9" w:rsidP="00BB6872">
            <w:pPr>
              <w:numPr>
                <w:ilvl w:val="0"/>
                <w:numId w:val="23"/>
              </w:numPr>
              <w:suppressAutoHyphens/>
              <w:spacing w:before="28" w:after="28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L3 VPN, </w:t>
            </w:r>
          </w:p>
          <w:p w:rsidR="005C3EB9" w:rsidRPr="007B6F25" w:rsidRDefault="005C3EB9" w:rsidP="00BB6872">
            <w:pPr>
              <w:numPr>
                <w:ilvl w:val="0"/>
                <w:numId w:val="23"/>
              </w:numPr>
              <w:suppressAutoHyphens/>
              <w:spacing w:before="28" w:after="28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/>
              </w:rPr>
              <w:t>Ethernet-over-MPLS (L2 Circuit), </w:t>
            </w:r>
          </w:p>
          <w:p w:rsidR="005C3EB9" w:rsidRPr="007B6F25" w:rsidRDefault="005C3EB9" w:rsidP="00BB6872">
            <w:pPr>
              <w:numPr>
                <w:ilvl w:val="0"/>
                <w:numId w:val="23"/>
              </w:numPr>
              <w:suppressAutoHyphens/>
              <w:spacing w:before="28" w:after="28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Node-link protection, </w:t>
            </w:r>
          </w:p>
          <w:p w:rsidR="005C3EB9" w:rsidRPr="007B6F25" w:rsidRDefault="005C3EB9" w:rsidP="00BB6872">
            <w:pPr>
              <w:numPr>
                <w:ilvl w:val="0"/>
                <w:numId w:val="23"/>
              </w:numPr>
              <w:suppressAutoHyphens/>
              <w:spacing w:before="28" w:after="28"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MPLS Fast Reroutresie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Urządzenie posiada mechanizmy priorytetyzowania i zarządzania ruchem sieciowym (QoS) w warstwie 2 i 3. Klasyfikacja ruchu musi odbywać się w zależności od co najmniej: interfejsu, typu ramki Ethernet, sieci VLAN, priorytetu w warstwie 2 (802.1p), adresów MAC, adresów IP, wartości pola ToS/DSCP w nagłówkach IP, portów TCP i UDP. Urządzenie musi obsługiwać sprzętowo nie mniej niż 12 kolejek per port fizyczny (8 unicast i 4 multicast).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Urządzenie obsługuje mechanizm WeightedRandomEarlyDetection (WRED).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Urządzenie obsługuje filtrowanie ruchu co najmniej na poziomie portu i sieci VLAN dla kryteriów z warstw 2-4. Urządzenie musi realizować sprzętowo nie mniej niż 4000 reguł filtrowania ruchu. W regułach filtrowania ruchu musi być dostępny mechanizm zliczania dla zaakceptowanych lub zablokowanych pakietów. Musi być dostępna funkcja edycji reguł filtrowania ruchu na samym urządzeniu.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Przełącznik obsługuje mechanizmy bezpieczeństwa  t.j. limitowanie adresów MAC, Dynamic ARP Inspection, DHCP snooping, IP Source Guard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Urządzenie obsługuje protokół SNMP (wersje 2c i 3), oraz grupy RMON 1, 2, 3, 9. </w:t>
            </w:r>
          </w:p>
          <w:p w:rsidR="005C3EB9" w:rsidRPr="00555A91" w:rsidRDefault="005C3EB9" w:rsidP="00BB6872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Dostępna funkcja kopiowania (mirroring) ruchu na poziomie portu i sieci VLAN.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Architektura systemu operacyjnego posiada budowę modularną (poszczególne moduły muszą działać w odseparowanych obszarach pamięci), m.in. moduł przekazywania pakietów, odpowiedzialny za przełączanie pakietów musi być oddzielony od modułu rutingu IP, odpowiedzialnego za ustalanie tras rutingu i zarządzanie urządzeniem. 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E41D3" w:rsidRDefault="005C3EB9" w:rsidP="00BB6872">
            <w:pPr>
              <w:suppressAutoHyphens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7B6F2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Mechanizm szybkiego odtwarzania systemu i przywracania konfiguracji. </w:t>
            </w:r>
          </w:p>
        </w:tc>
      </w:tr>
      <w:tr w:rsidR="005C3EB9" w:rsidRPr="007B6F25" w:rsidTr="005C3EB9">
        <w:trPr>
          <w:trHeight w:val="163"/>
        </w:trPr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7B6F25" w:rsidRDefault="005C3EB9" w:rsidP="00BB6872">
            <w:pPr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:rsidR="005C3EB9" w:rsidRPr="005C3EB9" w:rsidRDefault="005C3EB9" w:rsidP="00BB6872">
            <w:pPr>
              <w:suppressAutoHyphens/>
              <w:spacing w:before="28" w:after="28" w:line="240" w:lineRule="auto"/>
              <w:jc w:val="both"/>
              <w:rPr>
                <w:sz w:val="20"/>
                <w:szCs w:val="20"/>
              </w:rPr>
            </w:pPr>
            <w:r w:rsidRPr="005C3EB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Całość dostarczanego sprzętu i oprogramowania musi pochodzić z autoryzowanego przez producenta kanału sprzedaży</w:t>
            </w:r>
          </w:p>
        </w:tc>
      </w:tr>
    </w:tbl>
    <w:p w:rsidR="007A3F10" w:rsidRPr="007B6F25" w:rsidRDefault="007A3F10" w:rsidP="005C3E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sectPr w:rsidR="007A3F10" w:rsidRPr="007B6F25" w:rsidSect="00C26B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D23" w:rsidRDefault="00077D23" w:rsidP="00586423">
      <w:pPr>
        <w:spacing w:after="0" w:line="240" w:lineRule="auto"/>
      </w:pPr>
      <w:r>
        <w:separator/>
      </w:r>
    </w:p>
  </w:endnote>
  <w:endnote w:type="continuationSeparator" w:id="1">
    <w:p w:rsidR="00077D23" w:rsidRDefault="00077D23" w:rsidP="0058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2254"/>
      <w:docPartObj>
        <w:docPartGallery w:val="Page Numbers (Bottom of Page)"/>
        <w:docPartUnique/>
      </w:docPartObj>
    </w:sdtPr>
    <w:sdtContent>
      <w:p w:rsidR="00E34E47" w:rsidRDefault="00AA6ADC">
        <w:pPr>
          <w:pStyle w:val="Stopka"/>
          <w:jc w:val="right"/>
        </w:pPr>
        <w:r>
          <w:fldChar w:fldCharType="begin"/>
        </w:r>
        <w:r w:rsidR="000875BA">
          <w:instrText xml:space="preserve"> PAGE   \* MERGEFORMAT </w:instrText>
        </w:r>
        <w:r>
          <w:fldChar w:fldCharType="separate"/>
        </w:r>
        <w:r w:rsidR="00DE0D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4E47" w:rsidRDefault="00E34E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D23" w:rsidRDefault="00077D23" w:rsidP="00586423">
      <w:pPr>
        <w:spacing w:after="0" w:line="240" w:lineRule="auto"/>
      </w:pPr>
      <w:r>
        <w:separator/>
      </w:r>
    </w:p>
  </w:footnote>
  <w:footnote w:type="continuationSeparator" w:id="1">
    <w:p w:rsidR="00077D23" w:rsidRDefault="00077D23" w:rsidP="0058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630"/>
    <w:multiLevelType w:val="hybridMultilevel"/>
    <w:tmpl w:val="DDD02E8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47A6FA3"/>
    <w:multiLevelType w:val="multilevel"/>
    <w:tmpl w:val="4134D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E238D"/>
    <w:multiLevelType w:val="multilevel"/>
    <w:tmpl w:val="03BCA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C01CE"/>
    <w:multiLevelType w:val="hybridMultilevel"/>
    <w:tmpl w:val="B1FC9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E0DF1"/>
    <w:multiLevelType w:val="multilevel"/>
    <w:tmpl w:val="31341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E93B05"/>
    <w:multiLevelType w:val="multilevel"/>
    <w:tmpl w:val="E42E7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996BF4"/>
    <w:multiLevelType w:val="multilevel"/>
    <w:tmpl w:val="96BA0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036814"/>
    <w:multiLevelType w:val="multilevel"/>
    <w:tmpl w:val="38DCD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C32028"/>
    <w:multiLevelType w:val="hybridMultilevel"/>
    <w:tmpl w:val="C7545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AF6CE1"/>
    <w:multiLevelType w:val="multilevel"/>
    <w:tmpl w:val="80907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F62940"/>
    <w:multiLevelType w:val="multilevel"/>
    <w:tmpl w:val="6F86E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1C494D"/>
    <w:multiLevelType w:val="hybridMultilevel"/>
    <w:tmpl w:val="ABE84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761E8"/>
    <w:multiLevelType w:val="hybridMultilevel"/>
    <w:tmpl w:val="BE5C3EA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D860FBF"/>
    <w:multiLevelType w:val="multilevel"/>
    <w:tmpl w:val="8654D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8F31A3"/>
    <w:multiLevelType w:val="multilevel"/>
    <w:tmpl w:val="F412F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F02254"/>
    <w:multiLevelType w:val="multilevel"/>
    <w:tmpl w:val="3D7AE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C75E57"/>
    <w:multiLevelType w:val="hybridMultilevel"/>
    <w:tmpl w:val="F562396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44BB758D"/>
    <w:multiLevelType w:val="multilevel"/>
    <w:tmpl w:val="02888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60630E"/>
    <w:multiLevelType w:val="hybridMultilevel"/>
    <w:tmpl w:val="9BA8FE6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4D905F31"/>
    <w:multiLevelType w:val="hybridMultilevel"/>
    <w:tmpl w:val="5482737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4F2621A4"/>
    <w:multiLevelType w:val="multilevel"/>
    <w:tmpl w:val="76B8E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0A5790"/>
    <w:multiLevelType w:val="multilevel"/>
    <w:tmpl w:val="E9561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4773A1"/>
    <w:multiLevelType w:val="multilevel"/>
    <w:tmpl w:val="50E27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78418B"/>
    <w:multiLevelType w:val="multilevel"/>
    <w:tmpl w:val="52BEC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E47F43"/>
    <w:multiLevelType w:val="multilevel"/>
    <w:tmpl w:val="0F4C3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60430C"/>
    <w:multiLevelType w:val="multilevel"/>
    <w:tmpl w:val="CDE66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622B7B"/>
    <w:multiLevelType w:val="hybridMultilevel"/>
    <w:tmpl w:val="7D7C94AA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641C48A4"/>
    <w:multiLevelType w:val="multilevel"/>
    <w:tmpl w:val="DF6E12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DF0B4D"/>
    <w:multiLevelType w:val="multilevel"/>
    <w:tmpl w:val="910E3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0360A0"/>
    <w:multiLevelType w:val="hybridMultilevel"/>
    <w:tmpl w:val="440CD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99559F"/>
    <w:multiLevelType w:val="multilevel"/>
    <w:tmpl w:val="EF66A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077AC4"/>
    <w:multiLevelType w:val="multilevel"/>
    <w:tmpl w:val="299A5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7D65A4"/>
    <w:multiLevelType w:val="multilevel"/>
    <w:tmpl w:val="FD16C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802C2E"/>
    <w:multiLevelType w:val="multilevel"/>
    <w:tmpl w:val="26700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387647"/>
    <w:multiLevelType w:val="multilevel"/>
    <w:tmpl w:val="8E8C0E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365250"/>
    <w:multiLevelType w:val="multilevel"/>
    <w:tmpl w:val="057E0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5556E3"/>
    <w:multiLevelType w:val="hybridMultilevel"/>
    <w:tmpl w:val="FB0C8C6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7F6756A5"/>
    <w:multiLevelType w:val="multilevel"/>
    <w:tmpl w:val="672EC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27"/>
  </w:num>
  <w:num w:numId="3">
    <w:abstractNumId w:val="34"/>
  </w:num>
  <w:num w:numId="4">
    <w:abstractNumId w:val="7"/>
  </w:num>
  <w:num w:numId="5">
    <w:abstractNumId w:val="25"/>
  </w:num>
  <w:num w:numId="6">
    <w:abstractNumId w:val="32"/>
  </w:num>
  <w:num w:numId="7">
    <w:abstractNumId w:val="33"/>
  </w:num>
  <w:num w:numId="8">
    <w:abstractNumId w:val="28"/>
  </w:num>
  <w:num w:numId="9">
    <w:abstractNumId w:val="1"/>
  </w:num>
  <w:num w:numId="10">
    <w:abstractNumId w:val="10"/>
  </w:num>
  <w:num w:numId="11">
    <w:abstractNumId w:val="35"/>
  </w:num>
  <w:num w:numId="12">
    <w:abstractNumId w:val="14"/>
  </w:num>
  <w:num w:numId="13">
    <w:abstractNumId w:val="20"/>
  </w:num>
  <w:num w:numId="14">
    <w:abstractNumId w:val="2"/>
  </w:num>
  <w:num w:numId="15">
    <w:abstractNumId w:val="17"/>
  </w:num>
  <w:num w:numId="16">
    <w:abstractNumId w:val="31"/>
  </w:num>
  <w:num w:numId="17">
    <w:abstractNumId w:val="13"/>
  </w:num>
  <w:num w:numId="18">
    <w:abstractNumId w:val="15"/>
  </w:num>
  <w:num w:numId="19">
    <w:abstractNumId w:val="22"/>
  </w:num>
  <w:num w:numId="20">
    <w:abstractNumId w:val="30"/>
  </w:num>
  <w:num w:numId="21">
    <w:abstractNumId w:val="24"/>
  </w:num>
  <w:num w:numId="22">
    <w:abstractNumId w:val="5"/>
  </w:num>
  <w:num w:numId="23">
    <w:abstractNumId w:val="6"/>
  </w:num>
  <w:num w:numId="24">
    <w:abstractNumId w:val="21"/>
  </w:num>
  <w:num w:numId="25">
    <w:abstractNumId w:val="23"/>
  </w:num>
  <w:num w:numId="26">
    <w:abstractNumId w:val="9"/>
  </w:num>
  <w:num w:numId="27">
    <w:abstractNumId w:val="4"/>
  </w:num>
  <w:num w:numId="28">
    <w:abstractNumId w:val="11"/>
  </w:num>
  <w:num w:numId="29">
    <w:abstractNumId w:val="19"/>
  </w:num>
  <w:num w:numId="30">
    <w:abstractNumId w:val="18"/>
  </w:num>
  <w:num w:numId="31">
    <w:abstractNumId w:val="36"/>
  </w:num>
  <w:num w:numId="32">
    <w:abstractNumId w:val="12"/>
  </w:num>
  <w:num w:numId="33">
    <w:abstractNumId w:val="16"/>
  </w:num>
  <w:num w:numId="34">
    <w:abstractNumId w:val="0"/>
  </w:num>
  <w:num w:numId="35">
    <w:abstractNumId w:val="26"/>
  </w:num>
  <w:num w:numId="36">
    <w:abstractNumId w:val="29"/>
  </w:num>
  <w:num w:numId="37">
    <w:abstractNumId w:val="3"/>
  </w:num>
  <w:num w:numId="38">
    <w:abstractNumId w:val="8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F20">
    <w15:presenceInfo w15:providerId="None" w15:userId="INF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3F10"/>
    <w:rsid w:val="00007144"/>
    <w:rsid w:val="00077D23"/>
    <w:rsid w:val="000875BA"/>
    <w:rsid w:val="00096489"/>
    <w:rsid w:val="000A4731"/>
    <w:rsid w:val="000B0577"/>
    <w:rsid w:val="001501B9"/>
    <w:rsid w:val="0015163F"/>
    <w:rsid w:val="00190EC3"/>
    <w:rsid w:val="001A0CB1"/>
    <w:rsid w:val="001D5515"/>
    <w:rsid w:val="0024429D"/>
    <w:rsid w:val="00251D3F"/>
    <w:rsid w:val="002527D8"/>
    <w:rsid w:val="00282DBE"/>
    <w:rsid w:val="002C3BBA"/>
    <w:rsid w:val="002D7D24"/>
    <w:rsid w:val="0031407B"/>
    <w:rsid w:val="003170EE"/>
    <w:rsid w:val="0032241F"/>
    <w:rsid w:val="00342270"/>
    <w:rsid w:val="00346923"/>
    <w:rsid w:val="003634DA"/>
    <w:rsid w:val="00371E54"/>
    <w:rsid w:val="003879C4"/>
    <w:rsid w:val="00391201"/>
    <w:rsid w:val="00392D65"/>
    <w:rsid w:val="003C706B"/>
    <w:rsid w:val="003E33B6"/>
    <w:rsid w:val="003E7EF7"/>
    <w:rsid w:val="003F2320"/>
    <w:rsid w:val="00400215"/>
    <w:rsid w:val="00401EC8"/>
    <w:rsid w:val="004242AD"/>
    <w:rsid w:val="00443393"/>
    <w:rsid w:val="00466705"/>
    <w:rsid w:val="004A1AED"/>
    <w:rsid w:val="004B1B76"/>
    <w:rsid w:val="004D52F6"/>
    <w:rsid w:val="00507F35"/>
    <w:rsid w:val="00515E1C"/>
    <w:rsid w:val="00555A91"/>
    <w:rsid w:val="0056418F"/>
    <w:rsid w:val="00586423"/>
    <w:rsid w:val="005C3EB9"/>
    <w:rsid w:val="005E5A15"/>
    <w:rsid w:val="00620FDD"/>
    <w:rsid w:val="006463A3"/>
    <w:rsid w:val="00652617"/>
    <w:rsid w:val="00653B71"/>
    <w:rsid w:val="00680B58"/>
    <w:rsid w:val="00682F6B"/>
    <w:rsid w:val="006862E5"/>
    <w:rsid w:val="006B2B2D"/>
    <w:rsid w:val="007078CE"/>
    <w:rsid w:val="00712765"/>
    <w:rsid w:val="007306E7"/>
    <w:rsid w:val="0075287B"/>
    <w:rsid w:val="007612CD"/>
    <w:rsid w:val="00762127"/>
    <w:rsid w:val="007711C2"/>
    <w:rsid w:val="007A3F10"/>
    <w:rsid w:val="007B6F25"/>
    <w:rsid w:val="007E0331"/>
    <w:rsid w:val="007E41D3"/>
    <w:rsid w:val="007F53EA"/>
    <w:rsid w:val="00817384"/>
    <w:rsid w:val="00827379"/>
    <w:rsid w:val="00830998"/>
    <w:rsid w:val="00841308"/>
    <w:rsid w:val="0088208B"/>
    <w:rsid w:val="008C21F1"/>
    <w:rsid w:val="008F39DD"/>
    <w:rsid w:val="00921DBA"/>
    <w:rsid w:val="00971343"/>
    <w:rsid w:val="009A5F54"/>
    <w:rsid w:val="009C3728"/>
    <w:rsid w:val="009E1D63"/>
    <w:rsid w:val="00A32415"/>
    <w:rsid w:val="00A51845"/>
    <w:rsid w:val="00A64438"/>
    <w:rsid w:val="00A96635"/>
    <w:rsid w:val="00AA1164"/>
    <w:rsid w:val="00AA6ADC"/>
    <w:rsid w:val="00AA7A0F"/>
    <w:rsid w:val="00AB3EC7"/>
    <w:rsid w:val="00AC0E2A"/>
    <w:rsid w:val="00AE7F8C"/>
    <w:rsid w:val="00B21C57"/>
    <w:rsid w:val="00B34068"/>
    <w:rsid w:val="00B63FCC"/>
    <w:rsid w:val="00B7544F"/>
    <w:rsid w:val="00B9370A"/>
    <w:rsid w:val="00BA2A7E"/>
    <w:rsid w:val="00BE227F"/>
    <w:rsid w:val="00BE3437"/>
    <w:rsid w:val="00BF304E"/>
    <w:rsid w:val="00BF565E"/>
    <w:rsid w:val="00C26B5F"/>
    <w:rsid w:val="00C6648F"/>
    <w:rsid w:val="00CA4AD6"/>
    <w:rsid w:val="00CE0515"/>
    <w:rsid w:val="00D03689"/>
    <w:rsid w:val="00D33D5A"/>
    <w:rsid w:val="00D74248"/>
    <w:rsid w:val="00D76370"/>
    <w:rsid w:val="00DA35F3"/>
    <w:rsid w:val="00DE0D51"/>
    <w:rsid w:val="00DF58EB"/>
    <w:rsid w:val="00E05640"/>
    <w:rsid w:val="00E25B70"/>
    <w:rsid w:val="00E34E47"/>
    <w:rsid w:val="00E35513"/>
    <w:rsid w:val="00E705B9"/>
    <w:rsid w:val="00E86AE1"/>
    <w:rsid w:val="00E96F4F"/>
    <w:rsid w:val="00EA07AF"/>
    <w:rsid w:val="00EC36A3"/>
    <w:rsid w:val="00EF44CD"/>
    <w:rsid w:val="00F10DCF"/>
    <w:rsid w:val="00F25D93"/>
    <w:rsid w:val="00F30111"/>
    <w:rsid w:val="00F33122"/>
    <w:rsid w:val="00F54E94"/>
    <w:rsid w:val="00F736A0"/>
    <w:rsid w:val="00F80D6D"/>
    <w:rsid w:val="00FA4A5F"/>
    <w:rsid w:val="00FB0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8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6423"/>
  </w:style>
  <w:style w:type="paragraph" w:styleId="Stopka">
    <w:name w:val="footer"/>
    <w:basedOn w:val="Normalny"/>
    <w:link w:val="StopkaZnak"/>
    <w:uiPriority w:val="99"/>
    <w:unhideWhenUsed/>
    <w:rsid w:val="0058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423"/>
  </w:style>
  <w:style w:type="character" w:styleId="Odwoaniedokomentarza">
    <w:name w:val="annotation reference"/>
    <w:basedOn w:val="Domylnaczcionkaakapitu"/>
    <w:uiPriority w:val="99"/>
    <w:semiHidden/>
    <w:unhideWhenUsed/>
    <w:rsid w:val="00E86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A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AE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577"/>
    <w:rPr>
      <w:vertAlign w:val="superscript"/>
    </w:rPr>
  </w:style>
  <w:style w:type="paragraph" w:styleId="Poprawka">
    <w:name w:val="Revision"/>
    <w:hidden/>
    <w:uiPriority w:val="99"/>
    <w:semiHidden/>
    <w:rsid w:val="00E25B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8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6423"/>
  </w:style>
  <w:style w:type="paragraph" w:styleId="Stopka">
    <w:name w:val="footer"/>
    <w:basedOn w:val="Normalny"/>
    <w:link w:val="StopkaZnak"/>
    <w:uiPriority w:val="99"/>
    <w:unhideWhenUsed/>
    <w:rsid w:val="0058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423"/>
  </w:style>
  <w:style w:type="character" w:styleId="Odwoaniedokomentarza">
    <w:name w:val="annotation reference"/>
    <w:basedOn w:val="Domylnaczcionkaakapitu"/>
    <w:uiPriority w:val="99"/>
    <w:semiHidden/>
    <w:unhideWhenUsed/>
    <w:rsid w:val="00E86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A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AE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577"/>
    <w:rPr>
      <w:vertAlign w:val="superscript"/>
    </w:rPr>
  </w:style>
  <w:style w:type="paragraph" w:styleId="Poprawka">
    <w:name w:val="Revision"/>
    <w:hidden/>
    <w:uiPriority w:val="99"/>
    <w:semiHidden/>
    <w:rsid w:val="00E25B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7166-FAFB-4B0E-810B-B353BC05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1508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INF20</dc:creator>
  <cp:lastModifiedBy>ZPUB03</cp:lastModifiedBy>
  <cp:revision>7</cp:revision>
  <cp:lastPrinted>2020-08-25T09:46:00Z</cp:lastPrinted>
  <dcterms:created xsi:type="dcterms:W3CDTF">2020-09-15T12:06:00Z</dcterms:created>
  <dcterms:modified xsi:type="dcterms:W3CDTF">2020-09-15T12:29:00Z</dcterms:modified>
</cp:coreProperties>
</file>