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3" w:rsidRPr="00494BE9" w:rsidRDefault="007F040C" w:rsidP="000E2493">
      <w:pPr>
        <w:pStyle w:val="Nagwek"/>
        <w:tabs>
          <w:tab w:val="clear" w:pos="4536"/>
          <w:tab w:val="clear" w:pos="9072"/>
          <w:tab w:val="left" w:pos="993"/>
        </w:tabs>
        <w:ind w:left="6372"/>
        <w:rPr>
          <w:rFonts w:ascii="Tahoma" w:hAnsi="Tahoma" w:cs="Tahoma"/>
          <w:b/>
          <w:sz w:val="20"/>
          <w:szCs w:val="20"/>
        </w:rPr>
      </w:pPr>
      <w:r>
        <w:rPr>
          <w:rFonts w:ascii="Tahoma" w:hAnsi="Tahoma" w:cs="Tahoma"/>
          <w:b/>
          <w:sz w:val="20"/>
          <w:szCs w:val="20"/>
        </w:rPr>
        <w:t>P.T. Wykonawcy wszyscy</w:t>
      </w:r>
    </w:p>
    <w:p w:rsidR="000E2493" w:rsidRPr="00964EB5" w:rsidRDefault="000E2493" w:rsidP="000E2493">
      <w:pPr>
        <w:pStyle w:val="Nagwek"/>
        <w:tabs>
          <w:tab w:val="clear" w:pos="4536"/>
          <w:tab w:val="clear" w:pos="9072"/>
          <w:tab w:val="left" w:pos="993"/>
        </w:tabs>
        <w:ind w:left="6372"/>
        <w:rPr>
          <w:rFonts w:ascii="Tahoma" w:hAnsi="Tahoma" w:cs="Tahoma"/>
          <w:b/>
          <w:sz w:val="20"/>
          <w:szCs w:val="20"/>
        </w:rPr>
      </w:pPr>
    </w:p>
    <w:p w:rsidR="0047228C" w:rsidRPr="00964EB5"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964EB5">
        <w:rPr>
          <w:rFonts w:ascii="Tahoma" w:hAnsi="Tahoma" w:cs="Tahoma"/>
          <w:sz w:val="20"/>
          <w:szCs w:val="20"/>
        </w:rPr>
        <w:t>DA.271-</w:t>
      </w:r>
      <w:r w:rsidR="00B95084" w:rsidRPr="00964EB5">
        <w:rPr>
          <w:rFonts w:ascii="Tahoma" w:hAnsi="Tahoma" w:cs="Tahoma"/>
          <w:sz w:val="20"/>
          <w:szCs w:val="20"/>
        </w:rPr>
        <w:t>65</w:t>
      </w:r>
      <w:r w:rsidR="00840AC7" w:rsidRPr="00964EB5">
        <w:rPr>
          <w:rFonts w:ascii="Tahoma" w:hAnsi="Tahoma" w:cs="Tahoma"/>
          <w:sz w:val="20"/>
          <w:szCs w:val="20"/>
        </w:rPr>
        <w:t>-1</w:t>
      </w:r>
      <w:r w:rsidR="00964EB5" w:rsidRPr="00964EB5">
        <w:rPr>
          <w:rFonts w:ascii="Tahoma" w:hAnsi="Tahoma" w:cs="Tahoma"/>
          <w:sz w:val="20"/>
          <w:szCs w:val="20"/>
        </w:rPr>
        <w:t>2</w:t>
      </w:r>
      <w:r w:rsidR="00963CAF" w:rsidRPr="00964EB5">
        <w:rPr>
          <w:rFonts w:ascii="Tahoma" w:hAnsi="Tahoma" w:cs="Tahoma"/>
          <w:sz w:val="20"/>
          <w:szCs w:val="20"/>
        </w:rPr>
        <w:t>/19</w:t>
      </w:r>
      <w:r w:rsidR="00933217" w:rsidRPr="00964EB5">
        <w:rPr>
          <w:rFonts w:ascii="Tahoma" w:hAnsi="Tahoma" w:cs="Tahoma"/>
          <w:noProof/>
          <w:sz w:val="20"/>
          <w:szCs w:val="20"/>
        </w:rPr>
        <w:tab/>
      </w:r>
      <w:r w:rsidR="00933217" w:rsidRPr="00964EB5">
        <w:rPr>
          <w:rFonts w:ascii="Tahoma" w:hAnsi="Tahoma" w:cs="Tahoma"/>
          <w:noProof/>
          <w:sz w:val="20"/>
          <w:szCs w:val="20"/>
        </w:rPr>
        <w:tab/>
      </w:r>
      <w:r w:rsidR="004B0A64" w:rsidRPr="00964EB5">
        <w:rPr>
          <w:rFonts w:ascii="Tahoma" w:hAnsi="Tahoma" w:cs="Tahoma"/>
          <w:noProof/>
          <w:sz w:val="20"/>
          <w:szCs w:val="20"/>
        </w:rPr>
        <w:t xml:space="preserve">      </w:t>
      </w:r>
      <w:r w:rsidR="0035718B" w:rsidRPr="00964EB5">
        <w:rPr>
          <w:rFonts w:ascii="Tahoma" w:hAnsi="Tahoma" w:cs="Tahoma"/>
          <w:noProof/>
          <w:sz w:val="20"/>
          <w:szCs w:val="20"/>
        </w:rPr>
        <w:t xml:space="preserve">       </w:t>
      </w:r>
      <w:r w:rsidR="001208D2" w:rsidRPr="00964EB5">
        <w:rPr>
          <w:rFonts w:ascii="Tahoma" w:hAnsi="Tahoma" w:cs="Tahoma"/>
          <w:noProof/>
          <w:sz w:val="20"/>
          <w:szCs w:val="20"/>
        </w:rPr>
        <w:t xml:space="preserve">                    </w:t>
      </w:r>
      <w:r w:rsidR="001F2162" w:rsidRPr="00964EB5">
        <w:rPr>
          <w:rFonts w:ascii="Tahoma" w:hAnsi="Tahoma" w:cs="Tahoma"/>
          <w:noProof/>
          <w:sz w:val="20"/>
          <w:szCs w:val="20"/>
        </w:rPr>
        <w:t xml:space="preserve">        </w:t>
      </w:r>
      <w:r w:rsidR="000E2493" w:rsidRPr="00964EB5">
        <w:rPr>
          <w:rFonts w:ascii="Tahoma" w:hAnsi="Tahoma" w:cs="Tahoma"/>
          <w:noProof/>
          <w:sz w:val="20"/>
          <w:szCs w:val="20"/>
        </w:rPr>
        <w:t xml:space="preserve">     </w:t>
      </w:r>
      <w:r w:rsidR="0035718B" w:rsidRPr="00964EB5">
        <w:rPr>
          <w:rFonts w:ascii="Tahoma" w:hAnsi="Tahoma" w:cs="Tahoma"/>
          <w:noProof/>
          <w:sz w:val="20"/>
          <w:szCs w:val="20"/>
        </w:rPr>
        <w:t xml:space="preserve"> </w:t>
      </w:r>
      <w:r w:rsidR="0047228C" w:rsidRPr="00964EB5">
        <w:rPr>
          <w:rFonts w:ascii="Tahoma" w:hAnsi="Tahoma" w:cs="Tahoma"/>
          <w:noProof/>
          <w:sz w:val="20"/>
          <w:szCs w:val="20"/>
        </w:rPr>
        <w:t xml:space="preserve">Nowy Sącz, dnia </w:t>
      </w:r>
      <w:r w:rsidR="000E2493" w:rsidRPr="00964EB5">
        <w:rPr>
          <w:rFonts w:ascii="Tahoma" w:hAnsi="Tahoma" w:cs="Tahoma"/>
          <w:noProof/>
          <w:sz w:val="20"/>
          <w:szCs w:val="20"/>
        </w:rPr>
        <w:t>21</w:t>
      </w:r>
      <w:r w:rsidR="00B95084" w:rsidRPr="00964EB5">
        <w:rPr>
          <w:rFonts w:ascii="Tahoma" w:hAnsi="Tahoma" w:cs="Tahoma"/>
          <w:noProof/>
          <w:sz w:val="20"/>
          <w:szCs w:val="20"/>
        </w:rPr>
        <w:t xml:space="preserve"> listopada</w:t>
      </w:r>
      <w:r w:rsidR="00963CAF" w:rsidRPr="00964EB5">
        <w:rPr>
          <w:rFonts w:ascii="Tahoma" w:hAnsi="Tahoma" w:cs="Tahoma"/>
          <w:noProof/>
          <w:sz w:val="20"/>
          <w:szCs w:val="20"/>
        </w:rPr>
        <w:t xml:space="preserve"> 2019</w:t>
      </w:r>
      <w:r w:rsidR="0047228C" w:rsidRPr="00964EB5">
        <w:rPr>
          <w:rFonts w:ascii="Tahoma" w:hAnsi="Tahoma" w:cs="Tahoma"/>
          <w:noProof/>
          <w:sz w:val="20"/>
          <w:szCs w:val="20"/>
        </w:rPr>
        <w:t xml:space="preserve"> r.</w:t>
      </w:r>
    </w:p>
    <w:p w:rsidR="0047228C" w:rsidRPr="00964EB5" w:rsidRDefault="0047228C" w:rsidP="0047228C">
      <w:pPr>
        <w:pStyle w:val="Nagwek"/>
        <w:tabs>
          <w:tab w:val="clear" w:pos="4536"/>
          <w:tab w:val="clear" w:pos="9072"/>
        </w:tabs>
        <w:spacing w:line="360" w:lineRule="auto"/>
        <w:rPr>
          <w:rFonts w:ascii="Tahoma" w:hAnsi="Tahoma" w:cs="Tahoma"/>
          <w:noProof/>
          <w:sz w:val="20"/>
          <w:szCs w:val="20"/>
        </w:rPr>
      </w:pPr>
    </w:p>
    <w:p w:rsidR="0047228C" w:rsidRPr="00964EB5" w:rsidRDefault="0047228C" w:rsidP="009454BD">
      <w:pPr>
        <w:pStyle w:val="Nagwek"/>
        <w:tabs>
          <w:tab w:val="clear" w:pos="4536"/>
          <w:tab w:val="clear" w:pos="9072"/>
        </w:tabs>
        <w:spacing w:line="360" w:lineRule="auto"/>
        <w:rPr>
          <w:rFonts w:ascii="Tahoma" w:hAnsi="Tahoma" w:cs="Tahoma"/>
          <w:b/>
          <w:noProof/>
          <w:sz w:val="20"/>
          <w:szCs w:val="20"/>
        </w:rPr>
      </w:pPr>
      <w:r w:rsidRPr="00964EB5">
        <w:rPr>
          <w:rFonts w:ascii="Tahoma" w:hAnsi="Tahoma" w:cs="Tahoma"/>
          <w:b/>
          <w:noProof/>
          <w:sz w:val="20"/>
          <w:szCs w:val="20"/>
        </w:rPr>
        <w:t xml:space="preserve">Dotyczy:  </w:t>
      </w:r>
      <w:r w:rsidR="00536031" w:rsidRPr="00964EB5">
        <w:rPr>
          <w:rFonts w:ascii="Tahoma" w:hAnsi="Tahoma" w:cs="Tahoma"/>
          <w:b/>
          <w:noProof/>
          <w:sz w:val="20"/>
          <w:szCs w:val="20"/>
        </w:rPr>
        <w:t xml:space="preserve">Zapytanie nr </w:t>
      </w:r>
      <w:r w:rsidR="00840AC7" w:rsidRPr="00964EB5">
        <w:rPr>
          <w:rFonts w:ascii="Tahoma" w:hAnsi="Tahoma" w:cs="Tahoma"/>
          <w:b/>
          <w:noProof/>
          <w:sz w:val="20"/>
          <w:szCs w:val="20"/>
        </w:rPr>
        <w:t>6</w:t>
      </w:r>
      <w:r w:rsidR="00536031" w:rsidRPr="00964EB5">
        <w:rPr>
          <w:rFonts w:ascii="Tahoma" w:hAnsi="Tahoma" w:cs="Tahoma"/>
          <w:b/>
          <w:noProof/>
          <w:sz w:val="20"/>
          <w:szCs w:val="20"/>
        </w:rPr>
        <w:t>:</w:t>
      </w:r>
    </w:p>
    <w:p w:rsidR="0028718C" w:rsidRPr="00964EB5" w:rsidRDefault="0047228C" w:rsidP="000A4F32">
      <w:pPr>
        <w:tabs>
          <w:tab w:val="right" w:pos="2145"/>
          <w:tab w:val="left" w:pos="2175"/>
          <w:tab w:val="left" w:pos="3555"/>
          <w:tab w:val="left" w:pos="3660"/>
        </w:tabs>
        <w:jc w:val="both"/>
        <w:rPr>
          <w:rFonts w:ascii="Tahoma" w:hAnsi="Tahoma" w:cs="Tahoma"/>
          <w:sz w:val="20"/>
          <w:szCs w:val="20"/>
        </w:rPr>
      </w:pPr>
      <w:r w:rsidRPr="00964EB5">
        <w:rPr>
          <w:rFonts w:ascii="Tahoma" w:hAnsi="Tahoma" w:cs="Tahoma"/>
          <w:sz w:val="20"/>
          <w:szCs w:val="20"/>
        </w:rPr>
        <w:tab/>
        <w:t xml:space="preserve">W związku ze złożonymi zapytaniami dotyczącymi </w:t>
      </w:r>
      <w:r w:rsidR="00E402CF" w:rsidRPr="00964EB5">
        <w:rPr>
          <w:rFonts w:ascii="Tahoma" w:hAnsi="Tahoma" w:cs="Tahoma"/>
          <w:sz w:val="20"/>
          <w:szCs w:val="20"/>
        </w:rPr>
        <w:t>SIWZ</w:t>
      </w:r>
      <w:r w:rsidRPr="00964EB5">
        <w:rPr>
          <w:rFonts w:ascii="Tahoma" w:hAnsi="Tahoma" w:cs="Tahoma"/>
          <w:sz w:val="20"/>
          <w:szCs w:val="20"/>
        </w:rPr>
        <w:t xml:space="preserve"> odnośnie postępowania o udzielenie zamówienia publicznego prowadzonego w trybie przetargu nieograniczonego </w:t>
      </w:r>
      <w:r w:rsidRPr="00964EB5">
        <w:rPr>
          <w:rFonts w:ascii="Tahoma" w:hAnsi="Tahoma" w:cs="Tahoma"/>
          <w:b/>
          <w:sz w:val="20"/>
          <w:szCs w:val="20"/>
        </w:rPr>
        <w:t xml:space="preserve">na </w:t>
      </w:r>
      <w:r w:rsidR="00F52968" w:rsidRPr="00964EB5">
        <w:rPr>
          <w:rFonts w:ascii="Tahoma" w:hAnsi="Tahoma" w:cs="Tahoma"/>
          <w:b/>
          <w:sz w:val="20"/>
          <w:szCs w:val="20"/>
        </w:rPr>
        <w:t xml:space="preserve">wykonywanie przeglądów </w:t>
      </w:r>
      <w:r w:rsidR="00323F6B" w:rsidRPr="00964EB5">
        <w:rPr>
          <w:rFonts w:ascii="Tahoma" w:hAnsi="Tahoma" w:cs="Tahoma"/>
          <w:b/>
          <w:sz w:val="20"/>
          <w:szCs w:val="20"/>
        </w:rPr>
        <w:t xml:space="preserve">i napraw </w:t>
      </w:r>
      <w:r w:rsidR="00F52968" w:rsidRPr="00964EB5">
        <w:rPr>
          <w:rFonts w:ascii="Tahoma" w:hAnsi="Tahoma" w:cs="Tahoma"/>
          <w:b/>
          <w:sz w:val="20"/>
          <w:szCs w:val="20"/>
        </w:rPr>
        <w:t>aparatury medycznej i urządzeń technicznych</w:t>
      </w:r>
      <w:r w:rsidR="00323F6B" w:rsidRPr="00964EB5">
        <w:rPr>
          <w:rFonts w:ascii="Tahoma" w:hAnsi="Tahoma" w:cs="Tahoma"/>
          <w:b/>
          <w:sz w:val="20"/>
          <w:szCs w:val="20"/>
        </w:rPr>
        <w:t xml:space="preserve"> </w:t>
      </w:r>
      <w:r w:rsidRPr="00964EB5">
        <w:rPr>
          <w:rFonts w:ascii="Tahoma" w:hAnsi="Tahoma" w:cs="Tahoma"/>
          <w:sz w:val="20"/>
          <w:szCs w:val="20"/>
        </w:rPr>
        <w:t>Szpital Specjalistyczny im. Jędrzeja Śniadeckiego w Nowym Sączu jako Zamawiający informuje, że:</w:t>
      </w:r>
    </w:p>
    <w:p w:rsidR="000E2493" w:rsidRPr="00964EB5" w:rsidRDefault="000E2493" w:rsidP="004C6414">
      <w:pPr>
        <w:pStyle w:val="Akapitzlist"/>
        <w:tabs>
          <w:tab w:val="right" w:pos="2145"/>
          <w:tab w:val="left" w:pos="2175"/>
          <w:tab w:val="left" w:pos="3555"/>
          <w:tab w:val="left" w:pos="3660"/>
        </w:tabs>
        <w:jc w:val="both"/>
        <w:rPr>
          <w:rFonts w:ascii="Tahoma" w:hAnsi="Tahoma" w:cs="Tahoma"/>
          <w:sz w:val="20"/>
          <w:szCs w:val="20"/>
        </w:rPr>
      </w:pPr>
    </w:p>
    <w:p w:rsidR="000E2493" w:rsidRPr="00964EB5" w:rsidRDefault="000E2493" w:rsidP="004C6414">
      <w:pPr>
        <w:pStyle w:val="Akapitzlist"/>
        <w:tabs>
          <w:tab w:val="right" w:pos="2145"/>
          <w:tab w:val="left" w:pos="2175"/>
          <w:tab w:val="left" w:pos="3555"/>
          <w:tab w:val="left" w:pos="3660"/>
        </w:tabs>
        <w:jc w:val="both"/>
        <w:rPr>
          <w:rFonts w:ascii="Tahoma" w:hAnsi="Tahoma" w:cs="Tahoma"/>
          <w:sz w:val="20"/>
          <w:szCs w:val="20"/>
        </w:rPr>
      </w:pP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1, poz. 1,3</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 xml:space="preserve">Zgodnie z wytycznymi określonymi przez producenta respiratora </w:t>
      </w:r>
      <w:proofErr w:type="spellStart"/>
      <w:r w:rsidRPr="00964EB5">
        <w:rPr>
          <w:rFonts w:ascii="Tahoma" w:hAnsi="Tahoma" w:cs="Tahoma"/>
          <w:sz w:val="20"/>
          <w:szCs w:val="20"/>
          <w:u w:val="single"/>
        </w:rPr>
        <w:t>Covidien</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Puritan</w:t>
      </w:r>
      <w:proofErr w:type="spellEnd"/>
      <w:r w:rsidRPr="00964EB5">
        <w:rPr>
          <w:rFonts w:ascii="Tahoma" w:hAnsi="Tahoma" w:cs="Tahoma"/>
          <w:sz w:val="20"/>
          <w:szCs w:val="20"/>
          <w:u w:val="single"/>
        </w:rPr>
        <w:t xml:space="preserve"> Bennett 7200   wymagana jest wymiana następujących zestawów serwisowych:</w:t>
      </w:r>
    </w:p>
    <w:p w:rsidR="00964EB5" w:rsidRPr="00964EB5" w:rsidRDefault="00964EB5" w:rsidP="00964EB5">
      <w:pPr>
        <w:pStyle w:val="Bezodstpw"/>
        <w:spacing w:line="276" w:lineRule="auto"/>
        <w:jc w:val="both"/>
        <w:rPr>
          <w:rFonts w:ascii="Tahoma" w:eastAsia="Calibri" w:hAnsi="Tahoma" w:cs="Tahoma"/>
          <w:sz w:val="20"/>
          <w:szCs w:val="20"/>
          <w:u w:val="single"/>
        </w:rPr>
      </w:pPr>
      <w:r w:rsidRPr="00964EB5">
        <w:rPr>
          <w:rFonts w:ascii="Tahoma" w:hAnsi="Tahoma" w:cs="Tahoma"/>
          <w:sz w:val="20"/>
          <w:szCs w:val="20"/>
          <w:u w:val="single"/>
        </w:rPr>
        <w:t xml:space="preserve">- </w:t>
      </w:r>
      <w:r w:rsidRPr="00964EB5">
        <w:rPr>
          <w:rFonts w:ascii="Tahoma" w:hAnsi="Tahoma" w:cs="Tahoma"/>
          <w:bCs/>
          <w:sz w:val="20"/>
          <w:szCs w:val="20"/>
          <w:u w:val="single"/>
        </w:rPr>
        <w:t>2.5K PM KIT</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 xml:space="preserve">- </w:t>
      </w:r>
      <w:r w:rsidRPr="00964EB5">
        <w:rPr>
          <w:rFonts w:ascii="Tahoma" w:hAnsi="Tahoma" w:cs="Tahoma"/>
          <w:bCs/>
          <w:sz w:val="20"/>
          <w:szCs w:val="20"/>
          <w:u w:val="single"/>
        </w:rPr>
        <w:t>10K PM KIT</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Odpowiednio po 2.500 i 10.000 godzin</w:t>
      </w:r>
    </w:p>
    <w:p w:rsidR="00964EB5" w:rsidRPr="00964EB5" w:rsidRDefault="00964EB5" w:rsidP="00964EB5">
      <w:pPr>
        <w:pStyle w:val="Bezodstpw"/>
        <w:spacing w:line="276" w:lineRule="auto"/>
        <w:jc w:val="both"/>
        <w:rPr>
          <w:rFonts w:ascii="Tahoma" w:hAnsi="Tahoma" w:cs="Tahoma"/>
          <w:sz w:val="20"/>
          <w:szCs w:val="20"/>
          <w:u w:val="single"/>
        </w:rPr>
      </w:pPr>
    </w:p>
    <w:p w:rsidR="00964EB5" w:rsidRPr="00964EB5" w:rsidRDefault="00964EB5" w:rsidP="00964EB5">
      <w:pPr>
        <w:pStyle w:val="Bezodstpw"/>
        <w:spacing w:line="276" w:lineRule="auto"/>
        <w:jc w:val="both"/>
        <w:rPr>
          <w:rFonts w:ascii="Tahoma" w:hAnsi="Tahoma" w:cs="Tahoma"/>
          <w:sz w:val="20"/>
          <w:szCs w:val="20"/>
        </w:rPr>
      </w:pPr>
      <w:r w:rsidRPr="00964EB5">
        <w:rPr>
          <w:rFonts w:ascii="Tahoma" w:eastAsia="Calibri" w:hAnsi="Tahoma" w:cs="Tahoma"/>
          <w:sz w:val="20"/>
          <w:szCs w:val="20"/>
          <w:u w:val="single"/>
        </w:rPr>
        <w:t xml:space="preserve">Zgodnie z wytycznymi określonymi przez producenta respiratora </w:t>
      </w:r>
      <w:proofErr w:type="spellStart"/>
      <w:r w:rsidRPr="00964EB5">
        <w:rPr>
          <w:rFonts w:ascii="Tahoma" w:hAnsi="Tahoma" w:cs="Tahoma"/>
          <w:sz w:val="20"/>
          <w:szCs w:val="20"/>
          <w:u w:val="single"/>
        </w:rPr>
        <w:t>Covidien</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Puritan</w:t>
      </w:r>
      <w:proofErr w:type="spellEnd"/>
      <w:r w:rsidRPr="00964EB5">
        <w:rPr>
          <w:rFonts w:ascii="Tahoma" w:hAnsi="Tahoma" w:cs="Tahoma"/>
          <w:sz w:val="20"/>
          <w:szCs w:val="20"/>
          <w:u w:val="single"/>
        </w:rPr>
        <w:t xml:space="preserve"> Bennett 7200  co 10.000 godzin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 Bateria podtrzymania pamięci</w:t>
      </w:r>
    </w:p>
    <w:p w:rsidR="00964EB5" w:rsidRPr="00964EB5" w:rsidRDefault="00964EB5" w:rsidP="00964EB5">
      <w:pPr>
        <w:pStyle w:val="Bezodstpw"/>
        <w:spacing w:line="276" w:lineRule="auto"/>
        <w:jc w:val="both"/>
        <w:rPr>
          <w:rFonts w:ascii="Tahoma"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t xml:space="preserve">Potencjalni Wykonawcy nie mają wiedzy na temat ilości </w:t>
      </w:r>
      <w:r w:rsidRPr="00964EB5">
        <w:rPr>
          <w:rFonts w:ascii="Tahoma" w:hAnsi="Tahoma" w:cs="Tahoma"/>
          <w:sz w:val="20"/>
          <w:szCs w:val="20"/>
        </w:rPr>
        <w:t>przepracowanych godzin</w:t>
      </w:r>
      <w:r w:rsidRPr="00964EB5">
        <w:rPr>
          <w:rFonts w:ascii="Tahoma" w:eastAsia="Calibri" w:hAnsi="Tahoma" w:cs="Tahoma"/>
          <w:sz w:val="20"/>
          <w:szCs w:val="20"/>
        </w:rPr>
        <w:t xml:space="preserve">  ww. części. Wskazanie Wykonawcom ww. informacji jest niezbędne do określenia czy i ewentualnie jakie części mają zostać uwzględnione w ofercie. Prosimy o jednoznaczne wytyczne czy i dla których respiratorów </w:t>
      </w:r>
      <w:proofErr w:type="spellStart"/>
      <w:r w:rsidRPr="00964EB5">
        <w:rPr>
          <w:rFonts w:ascii="Tahoma" w:eastAsia="Calibri" w:hAnsi="Tahoma" w:cs="Tahoma"/>
          <w:sz w:val="20"/>
          <w:szCs w:val="20"/>
        </w:rPr>
        <w:t>Covidien</w:t>
      </w:r>
      <w:proofErr w:type="spellEnd"/>
      <w:r w:rsidRPr="00964EB5">
        <w:rPr>
          <w:rFonts w:ascii="Tahoma" w:eastAsia="Calibri" w:hAnsi="Tahoma" w:cs="Tahoma"/>
          <w:sz w:val="20"/>
          <w:szCs w:val="20"/>
        </w:rPr>
        <w:t xml:space="preserve"> </w:t>
      </w:r>
      <w:proofErr w:type="spellStart"/>
      <w:r w:rsidRPr="00964EB5">
        <w:rPr>
          <w:rFonts w:ascii="Tahoma" w:eastAsia="Calibri" w:hAnsi="Tahoma" w:cs="Tahoma"/>
          <w:sz w:val="20"/>
          <w:szCs w:val="20"/>
        </w:rPr>
        <w:t>Puritan</w:t>
      </w:r>
      <w:proofErr w:type="spellEnd"/>
      <w:r w:rsidRPr="00964EB5">
        <w:rPr>
          <w:rFonts w:ascii="Tahoma" w:eastAsia="Calibri" w:hAnsi="Tahoma" w:cs="Tahoma"/>
          <w:sz w:val="20"/>
          <w:szCs w:val="20"/>
        </w:rPr>
        <w:t xml:space="preserve"> Bennett 7200  Zamawiający wymaga w trakcie okresu obowiązywania umowy wymiany ww. części. Jeśli wymiana jest wymagana prosimy o podanie numerów fabrycznych urządzeń których dotyczy. Jeżeli Zamawiający nie jest w stanie zweryfikować ilości </w:t>
      </w:r>
      <w:r w:rsidRPr="00964EB5">
        <w:rPr>
          <w:rFonts w:ascii="Tahoma" w:hAnsi="Tahoma" w:cs="Tahoma"/>
          <w:sz w:val="20"/>
          <w:szCs w:val="20"/>
        </w:rPr>
        <w:t>przepracowanych godzin</w:t>
      </w:r>
      <w:r w:rsidRPr="00964EB5">
        <w:rPr>
          <w:rFonts w:ascii="Tahoma" w:eastAsia="Calibri" w:hAnsi="Tahoma" w:cs="Tahoma"/>
          <w:sz w:val="20"/>
          <w:szCs w:val="20"/>
        </w:rPr>
        <w:t xml:space="preserve">  ww.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1, poz. 2,4-7</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t>
      </w:r>
      <w:r w:rsidRPr="00964EB5">
        <w:rPr>
          <w:rFonts w:ascii="Tahoma" w:eastAsia="Calibri" w:hAnsi="Tahoma" w:cs="Tahoma"/>
          <w:sz w:val="20"/>
          <w:szCs w:val="20"/>
        </w:rPr>
        <w:lastRenderedPageBreak/>
        <w:t>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 xml:space="preserve">Zgodnie z wytycznymi określonymi przez producenta respiratora </w:t>
      </w:r>
      <w:proofErr w:type="spellStart"/>
      <w:r w:rsidRPr="00964EB5">
        <w:rPr>
          <w:rFonts w:ascii="Tahoma" w:hAnsi="Tahoma" w:cs="Tahoma"/>
          <w:sz w:val="20"/>
          <w:szCs w:val="20"/>
          <w:u w:val="single"/>
        </w:rPr>
        <w:t>Covidien</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Puritan</w:t>
      </w:r>
      <w:proofErr w:type="spellEnd"/>
      <w:r w:rsidRPr="00964EB5">
        <w:rPr>
          <w:rFonts w:ascii="Tahoma" w:hAnsi="Tahoma" w:cs="Tahoma"/>
          <w:sz w:val="20"/>
          <w:szCs w:val="20"/>
          <w:u w:val="single"/>
        </w:rPr>
        <w:t xml:space="preserve"> Bennett 840   wymagana jest wymiana następujących zestawów serwisowych:</w:t>
      </w:r>
    </w:p>
    <w:p w:rsidR="00964EB5" w:rsidRPr="00964EB5" w:rsidRDefault="00964EB5" w:rsidP="00964EB5">
      <w:pPr>
        <w:pStyle w:val="Bezodstpw"/>
        <w:spacing w:line="276" w:lineRule="auto"/>
        <w:jc w:val="both"/>
        <w:rPr>
          <w:rFonts w:ascii="Tahoma" w:eastAsia="Calibri" w:hAnsi="Tahoma" w:cs="Tahoma"/>
          <w:sz w:val="20"/>
          <w:szCs w:val="20"/>
          <w:u w:val="single"/>
        </w:rPr>
      </w:pPr>
      <w:r w:rsidRPr="00964EB5">
        <w:rPr>
          <w:rFonts w:ascii="Tahoma" w:hAnsi="Tahoma" w:cs="Tahoma"/>
          <w:sz w:val="20"/>
          <w:szCs w:val="20"/>
          <w:u w:val="single"/>
        </w:rPr>
        <w:t xml:space="preserve">- </w:t>
      </w:r>
      <w:r w:rsidRPr="00964EB5">
        <w:rPr>
          <w:rFonts w:ascii="Tahoma" w:hAnsi="Tahoma" w:cs="Tahoma"/>
          <w:bCs/>
          <w:color w:val="000000"/>
          <w:sz w:val="20"/>
          <w:szCs w:val="20"/>
          <w:u w:val="single"/>
        </w:rPr>
        <w:t xml:space="preserve">10K PM KIT FOR THE 10.4 [Zestaw serwisowy </w:t>
      </w:r>
      <w:proofErr w:type="spellStart"/>
      <w:r w:rsidRPr="00964EB5">
        <w:rPr>
          <w:rFonts w:ascii="Tahoma" w:hAnsi="Tahoma" w:cs="Tahoma"/>
          <w:bCs/>
          <w:color w:val="000000"/>
          <w:sz w:val="20"/>
          <w:szCs w:val="20"/>
          <w:u w:val="single"/>
        </w:rPr>
        <w:t>Purtian</w:t>
      </w:r>
      <w:proofErr w:type="spellEnd"/>
      <w:r w:rsidRPr="00964EB5">
        <w:rPr>
          <w:rFonts w:ascii="Tahoma" w:hAnsi="Tahoma" w:cs="Tahoma"/>
          <w:bCs/>
          <w:color w:val="000000"/>
          <w:sz w:val="20"/>
          <w:szCs w:val="20"/>
          <w:u w:val="single"/>
        </w:rPr>
        <w:t xml:space="preserve"> Bennett 840 10K]</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 xml:space="preserve">- </w:t>
      </w:r>
      <w:r w:rsidRPr="00964EB5">
        <w:rPr>
          <w:rFonts w:ascii="Tahoma" w:hAnsi="Tahoma" w:cs="Tahoma"/>
          <w:bCs/>
          <w:color w:val="000000"/>
          <w:sz w:val="20"/>
          <w:szCs w:val="20"/>
          <w:u w:val="single"/>
        </w:rPr>
        <w:t>15K PM KIT FOR COMPRESSOR 806 [Zestaw serwisowy kompresora 230V] (jeżeli urządzenie posiada kompresor</w:t>
      </w:r>
      <w:r w:rsidRPr="00964EB5">
        <w:rPr>
          <w:rFonts w:ascii="Tahoma" w:hAnsi="Tahoma" w:cs="Tahoma"/>
          <w:b/>
          <w:bCs/>
          <w:color w:val="000000"/>
          <w:sz w:val="20"/>
          <w:szCs w:val="20"/>
        </w:rPr>
        <w:t>)</w:t>
      </w: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hAnsi="Tahoma" w:cs="Tahoma"/>
          <w:sz w:val="20"/>
          <w:szCs w:val="20"/>
          <w:u w:val="single"/>
        </w:rPr>
        <w:t>Odpowiednio po 10 tysiącach i 15 tysiącach godzin</w:t>
      </w:r>
    </w:p>
    <w:p w:rsidR="00964EB5" w:rsidRPr="00964EB5" w:rsidRDefault="00964EB5" w:rsidP="00964EB5">
      <w:pPr>
        <w:pStyle w:val="Bezodstpw"/>
        <w:spacing w:line="276" w:lineRule="auto"/>
        <w:jc w:val="both"/>
        <w:rPr>
          <w:rFonts w:ascii="Tahoma" w:hAnsi="Tahoma" w:cs="Tahoma"/>
          <w:sz w:val="20"/>
          <w:szCs w:val="20"/>
          <w:u w:val="single"/>
        </w:rPr>
      </w:pPr>
    </w:p>
    <w:p w:rsidR="00964EB5" w:rsidRPr="00964EB5" w:rsidRDefault="00964EB5" w:rsidP="00964EB5">
      <w:pPr>
        <w:pStyle w:val="Bezodstpw"/>
        <w:spacing w:line="276" w:lineRule="auto"/>
        <w:jc w:val="both"/>
        <w:rPr>
          <w:rFonts w:ascii="Tahoma" w:eastAsia="Calibri" w:hAnsi="Tahoma" w:cs="Tahoma"/>
          <w:sz w:val="20"/>
          <w:szCs w:val="20"/>
          <w:u w:val="single"/>
        </w:rPr>
      </w:pPr>
      <w:r w:rsidRPr="00964EB5">
        <w:rPr>
          <w:rFonts w:ascii="Tahoma" w:eastAsia="Calibri" w:hAnsi="Tahoma" w:cs="Tahoma"/>
          <w:sz w:val="20"/>
          <w:szCs w:val="20"/>
          <w:u w:val="single"/>
        </w:rPr>
        <w:t xml:space="preserve">Zgodnie z wytycznymi określonymi przez producenta respiratora </w:t>
      </w:r>
      <w:proofErr w:type="spellStart"/>
      <w:r w:rsidRPr="00964EB5">
        <w:rPr>
          <w:rFonts w:ascii="Tahoma" w:hAnsi="Tahoma" w:cs="Tahoma"/>
          <w:sz w:val="20"/>
          <w:szCs w:val="20"/>
          <w:u w:val="single"/>
        </w:rPr>
        <w:t>Covidien</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Puritan</w:t>
      </w:r>
      <w:proofErr w:type="spellEnd"/>
      <w:r w:rsidRPr="00964EB5">
        <w:rPr>
          <w:rFonts w:ascii="Tahoma" w:hAnsi="Tahoma" w:cs="Tahoma"/>
          <w:sz w:val="20"/>
          <w:szCs w:val="20"/>
          <w:u w:val="single"/>
        </w:rPr>
        <w:t xml:space="preserve"> Bennett 840   </w:t>
      </w:r>
      <w:r w:rsidRPr="00964EB5">
        <w:rPr>
          <w:rFonts w:ascii="Tahoma" w:hAnsi="Tahoma" w:cs="Tahoma"/>
          <w:color w:val="000000"/>
          <w:sz w:val="20"/>
          <w:szCs w:val="20"/>
          <w:u w:val="single"/>
        </w:rPr>
        <w:t xml:space="preserve">co 12 miesięcy lub ze względu na określony stopień zużycia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jc w:val="both"/>
        <w:rPr>
          <w:rFonts w:ascii="Tahoma" w:hAnsi="Tahoma" w:cs="Tahoma"/>
          <w:color w:val="000000"/>
          <w:sz w:val="20"/>
          <w:szCs w:val="20"/>
          <w:u w:val="single"/>
        </w:rPr>
      </w:pPr>
      <w:r w:rsidRPr="00964EB5">
        <w:rPr>
          <w:rFonts w:ascii="Tahoma" w:hAnsi="Tahoma" w:cs="Tahoma"/>
          <w:sz w:val="20"/>
          <w:szCs w:val="20"/>
          <w:u w:val="single"/>
        </w:rPr>
        <w:t>- Czujnik tlenu</w:t>
      </w:r>
    </w:p>
    <w:p w:rsidR="00964EB5" w:rsidRPr="00964EB5" w:rsidRDefault="00964EB5" w:rsidP="00964EB5">
      <w:pPr>
        <w:pStyle w:val="Bezodstpw"/>
        <w:spacing w:line="276" w:lineRule="auto"/>
        <w:jc w:val="both"/>
        <w:rPr>
          <w:rFonts w:ascii="Tahoma" w:hAnsi="Tahoma" w:cs="Tahoma"/>
          <w:sz w:val="20"/>
          <w:szCs w:val="20"/>
          <w:u w:val="single"/>
        </w:rPr>
      </w:pPr>
    </w:p>
    <w:p w:rsidR="00964EB5" w:rsidRPr="00964EB5" w:rsidRDefault="00964EB5" w:rsidP="00964EB5">
      <w:pPr>
        <w:pStyle w:val="Bezodstpw"/>
        <w:spacing w:line="276" w:lineRule="auto"/>
        <w:jc w:val="both"/>
        <w:rPr>
          <w:rFonts w:ascii="Tahoma" w:hAnsi="Tahoma" w:cs="Tahoma"/>
          <w:sz w:val="20"/>
          <w:szCs w:val="20"/>
        </w:rPr>
      </w:pPr>
      <w:r w:rsidRPr="00964EB5">
        <w:rPr>
          <w:rFonts w:ascii="Tahoma" w:eastAsia="Calibri" w:hAnsi="Tahoma" w:cs="Tahoma"/>
          <w:sz w:val="20"/>
          <w:szCs w:val="20"/>
          <w:u w:val="single"/>
        </w:rPr>
        <w:t xml:space="preserve">Zgodnie z wytycznymi określonymi przez producenta respiratora </w:t>
      </w:r>
      <w:proofErr w:type="spellStart"/>
      <w:r w:rsidRPr="00964EB5">
        <w:rPr>
          <w:rFonts w:ascii="Tahoma" w:hAnsi="Tahoma" w:cs="Tahoma"/>
          <w:sz w:val="20"/>
          <w:szCs w:val="20"/>
          <w:u w:val="single"/>
        </w:rPr>
        <w:t>Covidien</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Puritan</w:t>
      </w:r>
      <w:proofErr w:type="spellEnd"/>
      <w:r w:rsidRPr="00964EB5">
        <w:rPr>
          <w:rFonts w:ascii="Tahoma" w:hAnsi="Tahoma" w:cs="Tahoma"/>
          <w:sz w:val="20"/>
          <w:szCs w:val="20"/>
          <w:u w:val="single"/>
        </w:rPr>
        <w:t xml:space="preserve"> Bennett 840   co 24 miesiące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jc w:val="both"/>
        <w:rPr>
          <w:rFonts w:ascii="Tahoma" w:hAnsi="Tahoma" w:cs="Tahoma"/>
          <w:color w:val="000000"/>
          <w:sz w:val="20"/>
          <w:szCs w:val="20"/>
          <w:u w:val="single"/>
        </w:rPr>
      </w:pPr>
      <w:r w:rsidRPr="00964EB5">
        <w:rPr>
          <w:rFonts w:ascii="Tahoma" w:hAnsi="Tahoma" w:cs="Tahoma"/>
          <w:sz w:val="20"/>
          <w:szCs w:val="20"/>
          <w:u w:val="single"/>
        </w:rPr>
        <w:t>- Pakiet akumulatorów</w:t>
      </w:r>
    </w:p>
    <w:p w:rsidR="00964EB5" w:rsidRPr="00964EB5" w:rsidRDefault="00964EB5" w:rsidP="00964EB5">
      <w:pPr>
        <w:pStyle w:val="Bezodstpw"/>
        <w:spacing w:line="276" w:lineRule="auto"/>
        <w:jc w:val="both"/>
        <w:rPr>
          <w:rFonts w:ascii="Tahoma"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t xml:space="preserve">Potencjalni Wykonawcy nie mają wiedzy na temat daty ostatniej wymiany, ilości </w:t>
      </w:r>
      <w:r w:rsidRPr="00964EB5">
        <w:rPr>
          <w:rFonts w:ascii="Tahoma" w:hAnsi="Tahoma" w:cs="Tahoma"/>
          <w:sz w:val="20"/>
          <w:szCs w:val="20"/>
        </w:rPr>
        <w:t>przepracowanych godzin</w:t>
      </w:r>
      <w:r w:rsidRPr="00964EB5">
        <w:rPr>
          <w:rFonts w:ascii="Tahoma" w:eastAsia="Calibri" w:hAnsi="Tahoma" w:cs="Tahoma"/>
          <w:sz w:val="20"/>
          <w:szCs w:val="20"/>
        </w:rPr>
        <w:t xml:space="preserve"> i stopnia zużycia ww. części. Wskazanie Wykonawcom ww. informacji jest niezbędne do określenia czy i ewentualnie jakie części mają zostać uwzględnione w ofercie. Prosimy o jednoznaczne wytyczne czy i dla których respiratorów </w:t>
      </w:r>
      <w:proofErr w:type="spellStart"/>
      <w:r w:rsidRPr="00964EB5">
        <w:rPr>
          <w:rFonts w:ascii="Tahoma" w:eastAsia="Calibri" w:hAnsi="Tahoma" w:cs="Tahoma"/>
          <w:sz w:val="20"/>
          <w:szCs w:val="20"/>
        </w:rPr>
        <w:t>Covidien</w:t>
      </w:r>
      <w:proofErr w:type="spellEnd"/>
      <w:r w:rsidRPr="00964EB5">
        <w:rPr>
          <w:rFonts w:ascii="Tahoma" w:eastAsia="Calibri" w:hAnsi="Tahoma" w:cs="Tahoma"/>
          <w:sz w:val="20"/>
          <w:szCs w:val="20"/>
        </w:rPr>
        <w:t xml:space="preserve"> </w:t>
      </w:r>
      <w:proofErr w:type="spellStart"/>
      <w:r w:rsidRPr="00964EB5">
        <w:rPr>
          <w:rFonts w:ascii="Tahoma" w:eastAsia="Calibri" w:hAnsi="Tahoma" w:cs="Tahoma"/>
          <w:sz w:val="20"/>
          <w:szCs w:val="20"/>
        </w:rPr>
        <w:t>Puritan</w:t>
      </w:r>
      <w:proofErr w:type="spellEnd"/>
      <w:r w:rsidRPr="00964EB5">
        <w:rPr>
          <w:rFonts w:ascii="Tahoma" w:eastAsia="Calibri" w:hAnsi="Tahoma" w:cs="Tahoma"/>
          <w:sz w:val="20"/>
          <w:szCs w:val="20"/>
        </w:rPr>
        <w:t xml:space="preserve"> Bennett 840   </w:t>
      </w:r>
      <w:r w:rsidRPr="00964EB5">
        <w:rPr>
          <w:rFonts w:ascii="Tahoma" w:hAnsi="Tahoma" w:cs="Tahoma"/>
          <w:sz w:val="20"/>
          <w:szCs w:val="20"/>
        </w:rPr>
        <w:t xml:space="preserve"> </w:t>
      </w:r>
      <w:r w:rsidRPr="00964EB5">
        <w:rPr>
          <w:rFonts w:ascii="Tahoma" w:eastAsia="Calibri" w:hAnsi="Tahoma" w:cs="Tahoma"/>
          <w:sz w:val="20"/>
          <w:szCs w:val="20"/>
        </w:rPr>
        <w:t xml:space="preserve">Zamawiający wymaga w trakcie okresu obowiązywania umowy wymiany ww. części. Jeśli wymiana jest wymagana prosimy o podanie numerów fabrycznych urządzeń których dotyczy. Jeżeli Zamawiający nie jest w stanie zweryfikować daty ostatniej wymiany, ilości </w:t>
      </w:r>
      <w:r w:rsidRPr="00964EB5">
        <w:rPr>
          <w:rFonts w:ascii="Tahoma" w:hAnsi="Tahoma" w:cs="Tahoma"/>
          <w:sz w:val="20"/>
          <w:szCs w:val="20"/>
        </w:rPr>
        <w:t>przepracowanych godzin</w:t>
      </w:r>
      <w:r w:rsidRPr="00964EB5">
        <w:rPr>
          <w:rFonts w:ascii="Tahoma" w:eastAsia="Calibri" w:hAnsi="Tahoma" w:cs="Tahoma"/>
          <w:sz w:val="20"/>
          <w:szCs w:val="20"/>
        </w:rPr>
        <w:t xml:space="preserve"> i stopnia zużycia ww.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2, poz. 1-7</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Versamed</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7100 co 12 miesięcy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Uszczelki gniazd parowników</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Filtr wentylatora</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Filtr 2-micron gazu napędzającego</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Filtr wejściowy zasilania gazów</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Akumulator wewnętrzny</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Filtr wejściowy butli</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Uszczelka butli (DIN)</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 Uszczelka butli N2O DIN </w:t>
      </w:r>
      <w:proofErr w:type="spellStart"/>
      <w:r w:rsidRPr="00964EB5">
        <w:rPr>
          <w:rFonts w:ascii="Tahoma" w:hAnsi="Tahoma" w:cs="Tahoma"/>
          <w:sz w:val="20"/>
          <w:szCs w:val="20"/>
          <w:u w:val="single"/>
        </w:rPr>
        <w:t>Conn</w:t>
      </w:r>
      <w:proofErr w:type="spellEnd"/>
      <w:r w:rsidRPr="00964EB5">
        <w:rPr>
          <w:rFonts w:ascii="Tahoma" w:hAnsi="Tahoma" w:cs="Tahoma"/>
          <w:sz w:val="20"/>
          <w:szCs w:val="20"/>
          <w:u w:val="single"/>
        </w:rPr>
        <w:t xml:space="preserve"> 11</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Versamed</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7100 co 24 miesiące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Akumulator wewnętrzny 6V 4,5AH</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 Zawór grzybowy spontanicznego oddechu </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Uszczelka zaworu spontanicznego oddechu</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rPr>
          <w:rFonts w:ascii="Tahoma"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Versamed</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7100  wymagana jest  wymiana następujących części gdy osiągną określony stopień zużycia:</w:t>
      </w:r>
    </w:p>
    <w:p w:rsidR="00964EB5" w:rsidRPr="00964EB5" w:rsidRDefault="00964EB5" w:rsidP="00964EB5">
      <w:pPr>
        <w:pStyle w:val="Bezodstpw"/>
        <w:spacing w:line="276" w:lineRule="auto"/>
        <w:rPr>
          <w:rFonts w:ascii="Tahoma" w:hAnsi="Tahoma" w:cs="Tahoma"/>
          <w:bCs/>
          <w:sz w:val="20"/>
          <w:szCs w:val="20"/>
          <w:u w:val="single"/>
        </w:rPr>
      </w:pPr>
      <w:r w:rsidRPr="00964EB5">
        <w:rPr>
          <w:rFonts w:ascii="Tahoma" w:hAnsi="Tahoma" w:cs="Tahoma"/>
          <w:sz w:val="20"/>
          <w:szCs w:val="20"/>
          <w:u w:val="single"/>
        </w:rPr>
        <w:lastRenderedPageBreak/>
        <w:t>- Czujnik przepływu</w:t>
      </w:r>
    </w:p>
    <w:p w:rsidR="00964EB5" w:rsidRPr="00964EB5" w:rsidRDefault="00964EB5" w:rsidP="00964EB5">
      <w:pPr>
        <w:jc w:val="both"/>
        <w:rPr>
          <w:rFonts w:ascii="Tahoma" w:hAnsi="Tahoma" w:cs="Tahoma"/>
          <w:bCs/>
          <w:sz w:val="20"/>
          <w:szCs w:val="20"/>
          <w:u w:val="single"/>
        </w:rPr>
      </w:pPr>
      <w:r w:rsidRPr="00964EB5">
        <w:rPr>
          <w:rFonts w:ascii="Tahoma" w:hAnsi="Tahoma" w:cs="Tahoma"/>
          <w:sz w:val="20"/>
          <w:szCs w:val="20"/>
          <w:u w:val="single"/>
        </w:rPr>
        <w:t>- Czujnik tlenu M-10</w:t>
      </w:r>
    </w:p>
    <w:p w:rsidR="00964EB5" w:rsidRPr="00964EB5" w:rsidRDefault="00964EB5" w:rsidP="00964EB5">
      <w:pPr>
        <w:jc w:val="both"/>
        <w:rPr>
          <w:rFonts w:ascii="Tahoma" w:hAnsi="Tahoma" w:cs="Tahoma"/>
          <w:sz w:val="20"/>
          <w:szCs w:val="20"/>
          <w:u w:val="single"/>
        </w:rPr>
      </w:pPr>
      <w:r w:rsidRPr="00964EB5">
        <w:rPr>
          <w:rFonts w:ascii="Tahoma" w:hAnsi="Tahoma" w:cs="Tahoma"/>
          <w:sz w:val="20"/>
          <w:szCs w:val="20"/>
          <w:u w:val="single"/>
        </w:rPr>
        <w:t>- Dysk zaworu zwrotnego</w:t>
      </w:r>
    </w:p>
    <w:p w:rsidR="00964EB5" w:rsidRPr="00964EB5" w:rsidRDefault="00964EB5" w:rsidP="00964EB5">
      <w:pPr>
        <w:jc w:val="both"/>
        <w:rPr>
          <w:rFonts w:ascii="Tahoma" w:hAnsi="Tahoma" w:cs="Tahoma"/>
          <w:sz w:val="20"/>
          <w:szCs w:val="20"/>
          <w:u w:val="single"/>
        </w:rPr>
      </w:pPr>
      <w:r w:rsidRPr="00964EB5">
        <w:rPr>
          <w:rFonts w:ascii="Tahoma" w:hAnsi="Tahoma" w:cs="Tahoma"/>
          <w:sz w:val="20"/>
          <w:szCs w:val="20"/>
          <w:u w:val="single"/>
        </w:rPr>
        <w:t>- Membrana zastawki wydechowej</w:t>
      </w:r>
    </w:p>
    <w:p w:rsidR="00964EB5" w:rsidRPr="00964EB5" w:rsidRDefault="00964EB5" w:rsidP="00964EB5">
      <w:pPr>
        <w:jc w:val="both"/>
        <w:rPr>
          <w:rFonts w:ascii="Tahoma" w:hAnsi="Tahoma" w:cs="Tahoma"/>
          <w:sz w:val="20"/>
          <w:szCs w:val="20"/>
          <w:u w:val="single"/>
        </w:rPr>
      </w:pPr>
      <w:r w:rsidRPr="00964EB5">
        <w:rPr>
          <w:rFonts w:ascii="Tahoma" w:hAnsi="Tahoma" w:cs="Tahoma"/>
          <w:sz w:val="20"/>
          <w:szCs w:val="20"/>
          <w:u w:val="single"/>
        </w:rPr>
        <w:t xml:space="preserve">- Zawór </w:t>
      </w:r>
      <w:proofErr w:type="spellStart"/>
      <w:r w:rsidRPr="00964EB5">
        <w:rPr>
          <w:rFonts w:ascii="Tahoma" w:hAnsi="Tahoma" w:cs="Tahoma"/>
          <w:sz w:val="20"/>
          <w:szCs w:val="20"/>
          <w:u w:val="single"/>
        </w:rPr>
        <w:t>pop-off</w:t>
      </w:r>
      <w:proofErr w:type="spellEnd"/>
    </w:p>
    <w:p w:rsidR="00964EB5" w:rsidRPr="00964EB5" w:rsidRDefault="00964EB5" w:rsidP="00964EB5">
      <w:pPr>
        <w:pStyle w:val="Bezodstpw"/>
        <w:spacing w:line="276" w:lineRule="auto"/>
        <w:rPr>
          <w:rFonts w:ascii="Tahoma" w:eastAsia="Calibri" w:hAnsi="Tahoma" w:cs="Tahoma"/>
          <w:sz w:val="20"/>
          <w:szCs w:val="20"/>
          <w:u w:val="single"/>
        </w:rPr>
      </w:pP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Versamed</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7100 co 24 miesiące </w:t>
      </w:r>
      <w:bookmarkStart w:id="0" w:name="_Hlk14426039"/>
      <w:r w:rsidRPr="00964EB5">
        <w:rPr>
          <w:rFonts w:ascii="Tahoma" w:hAnsi="Tahoma" w:cs="Tahoma"/>
          <w:sz w:val="20"/>
          <w:szCs w:val="20"/>
          <w:u w:val="single"/>
        </w:rPr>
        <w:t>lub ze względu na osiągnięcie określonego stopnia zużycia wymagana jest  wymiana następujących części:</w:t>
      </w:r>
      <w:bookmarkEnd w:id="0"/>
    </w:p>
    <w:p w:rsidR="00964EB5" w:rsidRPr="00964EB5" w:rsidRDefault="00964EB5" w:rsidP="00964EB5">
      <w:pPr>
        <w:jc w:val="both"/>
        <w:rPr>
          <w:rFonts w:ascii="Tahoma" w:hAnsi="Tahoma" w:cs="Tahoma"/>
          <w:bCs/>
          <w:sz w:val="20"/>
          <w:szCs w:val="20"/>
          <w:u w:val="single"/>
        </w:rPr>
      </w:pPr>
      <w:r w:rsidRPr="00964EB5">
        <w:rPr>
          <w:rFonts w:ascii="Tahoma" w:hAnsi="Tahoma" w:cs="Tahoma"/>
          <w:bCs/>
          <w:sz w:val="20"/>
          <w:szCs w:val="20"/>
          <w:u w:val="single"/>
        </w:rPr>
        <w:t>- Miech</w:t>
      </w:r>
    </w:p>
    <w:p w:rsidR="00964EB5" w:rsidRPr="00964EB5" w:rsidRDefault="00964EB5" w:rsidP="00964EB5">
      <w:pPr>
        <w:pStyle w:val="Bezodstpw"/>
        <w:spacing w:line="276" w:lineRule="auto"/>
        <w:rPr>
          <w:rFonts w:ascii="Tahoma" w:eastAsia="Calibri"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964EB5">
        <w:rPr>
          <w:rFonts w:ascii="Tahoma" w:hAnsi="Tahoma" w:cs="Tahoma"/>
          <w:sz w:val="20"/>
          <w:szCs w:val="20"/>
        </w:rPr>
        <w:t xml:space="preserve">aparatów do znieczulania ogólnego GE </w:t>
      </w:r>
      <w:proofErr w:type="spellStart"/>
      <w:r w:rsidRPr="00964EB5">
        <w:rPr>
          <w:rFonts w:ascii="Tahoma" w:hAnsi="Tahoma" w:cs="Tahoma"/>
          <w:sz w:val="20"/>
          <w:szCs w:val="20"/>
        </w:rPr>
        <w:t>Datex</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Ohmeda</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Versamed</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Aespire</w:t>
      </w:r>
      <w:proofErr w:type="spellEnd"/>
      <w:r w:rsidRPr="00964EB5">
        <w:rPr>
          <w:rFonts w:ascii="Tahoma" w:hAnsi="Tahoma" w:cs="Tahoma"/>
          <w:sz w:val="20"/>
          <w:szCs w:val="20"/>
        </w:rPr>
        <w:t xml:space="preserve"> 7100 </w:t>
      </w:r>
      <w:r w:rsidRPr="00964EB5">
        <w:rPr>
          <w:rFonts w:ascii="Tahoma" w:eastAsia="Calibri" w:hAnsi="Tahoma" w:cs="Tahoma"/>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2, poz. 8-10</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View</w:t>
      </w:r>
      <w:proofErr w:type="spellEnd"/>
      <w:r w:rsidRPr="00964EB5">
        <w:rPr>
          <w:rFonts w:ascii="Tahoma" w:hAnsi="Tahoma" w:cs="Tahoma"/>
          <w:sz w:val="20"/>
          <w:szCs w:val="20"/>
          <w:u w:val="single"/>
        </w:rPr>
        <w:t xml:space="preserve"> co 12 miesięcy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Uszczelka gniazda parownika</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 Filtr </w:t>
      </w:r>
      <w:proofErr w:type="spellStart"/>
      <w:r w:rsidRPr="00964EB5">
        <w:rPr>
          <w:rFonts w:ascii="Tahoma" w:hAnsi="Tahoma" w:cs="Tahoma"/>
          <w:sz w:val="20"/>
          <w:szCs w:val="20"/>
          <w:u w:val="single"/>
        </w:rPr>
        <w:t>przeciwkurzowy</w:t>
      </w:r>
      <w:proofErr w:type="spellEnd"/>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Filtr 2-micron gazu napędzającego</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Filtr wejściowy zasilania gazów</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Filtr wejściowy butli</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Uszczelka butli (DIN)</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 Uszczelka butli N2O DIN </w:t>
      </w:r>
      <w:proofErr w:type="spellStart"/>
      <w:r w:rsidRPr="00964EB5">
        <w:rPr>
          <w:rFonts w:ascii="Tahoma" w:hAnsi="Tahoma" w:cs="Tahoma"/>
          <w:sz w:val="20"/>
          <w:szCs w:val="20"/>
          <w:u w:val="single"/>
        </w:rPr>
        <w:t>Conn</w:t>
      </w:r>
      <w:proofErr w:type="spellEnd"/>
      <w:r w:rsidRPr="00964EB5">
        <w:rPr>
          <w:rFonts w:ascii="Tahoma" w:hAnsi="Tahoma" w:cs="Tahoma"/>
          <w:sz w:val="20"/>
          <w:szCs w:val="20"/>
          <w:u w:val="single"/>
        </w:rPr>
        <w:t xml:space="preserve"> 11</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View</w:t>
      </w:r>
      <w:proofErr w:type="spellEnd"/>
      <w:r w:rsidRPr="00964EB5">
        <w:rPr>
          <w:rFonts w:ascii="Tahoma" w:hAnsi="Tahoma" w:cs="Tahoma"/>
          <w:sz w:val="20"/>
          <w:szCs w:val="20"/>
          <w:u w:val="single"/>
        </w:rPr>
        <w:t xml:space="preserve"> co 24 miesiące </w:t>
      </w:r>
      <w:r w:rsidRPr="00964EB5">
        <w:rPr>
          <w:rFonts w:ascii="Tahoma" w:eastAsia="Calibri" w:hAnsi="Tahoma" w:cs="Tahoma"/>
          <w:sz w:val="20"/>
          <w:szCs w:val="20"/>
          <w:u w:val="single"/>
        </w:rPr>
        <w:t>wymagana jest wymiana następujących części:</w:t>
      </w: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hAnsi="Tahoma" w:cs="Tahoma"/>
          <w:sz w:val="20"/>
          <w:szCs w:val="20"/>
          <w:u w:val="single"/>
        </w:rPr>
        <w:t xml:space="preserve">- Akumulator wewnętrzny </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 Zawór grzybowy spontanicznego oddechu </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Uszczelka zaworu spontanicznego oddechu</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eastAsia="Calibri" w:hAnsi="Tahoma" w:cs="Tahoma"/>
          <w:sz w:val="20"/>
          <w:szCs w:val="20"/>
          <w:u w:val="single"/>
        </w:rPr>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View</w:t>
      </w:r>
      <w:proofErr w:type="spellEnd"/>
      <w:r w:rsidRPr="00964EB5">
        <w:rPr>
          <w:rFonts w:ascii="Tahoma" w:hAnsi="Tahoma" w:cs="Tahoma"/>
          <w:sz w:val="20"/>
          <w:szCs w:val="20"/>
          <w:u w:val="single"/>
        </w:rPr>
        <w:t xml:space="preserve">  wymagana jest  wymiana następujących części gdy osiągną określony stopień zużycia:</w:t>
      </w:r>
    </w:p>
    <w:p w:rsidR="00964EB5" w:rsidRPr="00964EB5" w:rsidRDefault="00964EB5" w:rsidP="00964EB5">
      <w:pPr>
        <w:jc w:val="both"/>
        <w:rPr>
          <w:rFonts w:ascii="Tahoma" w:hAnsi="Tahoma" w:cs="Tahoma"/>
          <w:bCs/>
          <w:sz w:val="20"/>
          <w:szCs w:val="20"/>
          <w:u w:val="single"/>
        </w:rPr>
      </w:pPr>
      <w:r w:rsidRPr="00964EB5">
        <w:rPr>
          <w:rFonts w:ascii="Tahoma" w:hAnsi="Tahoma" w:cs="Tahoma"/>
          <w:sz w:val="20"/>
          <w:szCs w:val="20"/>
          <w:u w:val="single"/>
        </w:rPr>
        <w:t>- Czujnik przepływu</w:t>
      </w:r>
    </w:p>
    <w:p w:rsidR="00964EB5" w:rsidRPr="00964EB5" w:rsidRDefault="00964EB5" w:rsidP="00964EB5">
      <w:pPr>
        <w:jc w:val="both"/>
        <w:rPr>
          <w:rFonts w:ascii="Tahoma" w:hAnsi="Tahoma" w:cs="Tahoma"/>
          <w:bCs/>
          <w:sz w:val="20"/>
          <w:szCs w:val="20"/>
          <w:u w:val="single"/>
        </w:rPr>
      </w:pPr>
      <w:r w:rsidRPr="00964EB5">
        <w:rPr>
          <w:rFonts w:ascii="Tahoma" w:hAnsi="Tahoma" w:cs="Tahoma"/>
          <w:sz w:val="20"/>
          <w:szCs w:val="20"/>
          <w:u w:val="single"/>
        </w:rPr>
        <w:t>- Czujnik tlenu M-10</w:t>
      </w:r>
    </w:p>
    <w:p w:rsidR="00964EB5" w:rsidRPr="00964EB5" w:rsidRDefault="00964EB5" w:rsidP="00964EB5">
      <w:pPr>
        <w:jc w:val="both"/>
        <w:rPr>
          <w:rFonts w:ascii="Tahoma" w:hAnsi="Tahoma" w:cs="Tahoma"/>
          <w:bCs/>
          <w:sz w:val="20"/>
          <w:szCs w:val="20"/>
          <w:u w:val="single"/>
        </w:rPr>
      </w:pPr>
      <w:r w:rsidRPr="00964EB5">
        <w:rPr>
          <w:rFonts w:ascii="Tahoma" w:hAnsi="Tahoma" w:cs="Tahoma"/>
          <w:sz w:val="20"/>
          <w:szCs w:val="20"/>
          <w:u w:val="single"/>
        </w:rPr>
        <w:t>- Dysk zaworu zwrotnego</w:t>
      </w:r>
    </w:p>
    <w:p w:rsidR="00964EB5" w:rsidRPr="00964EB5" w:rsidRDefault="00964EB5" w:rsidP="00964EB5">
      <w:pPr>
        <w:jc w:val="both"/>
        <w:rPr>
          <w:rFonts w:ascii="Tahoma" w:hAnsi="Tahoma" w:cs="Tahoma"/>
          <w:sz w:val="20"/>
          <w:szCs w:val="20"/>
          <w:u w:val="single"/>
        </w:rPr>
      </w:pPr>
      <w:r w:rsidRPr="00964EB5">
        <w:rPr>
          <w:rFonts w:ascii="Tahoma" w:hAnsi="Tahoma" w:cs="Tahoma"/>
          <w:sz w:val="20"/>
          <w:szCs w:val="20"/>
          <w:u w:val="single"/>
        </w:rPr>
        <w:t>- Membrana zastawki wydechowej</w:t>
      </w:r>
    </w:p>
    <w:p w:rsidR="00964EB5" w:rsidRPr="00964EB5" w:rsidRDefault="00964EB5" w:rsidP="00964EB5">
      <w:pPr>
        <w:jc w:val="both"/>
        <w:rPr>
          <w:rFonts w:ascii="Tahoma" w:hAnsi="Tahoma" w:cs="Tahoma"/>
          <w:sz w:val="20"/>
          <w:szCs w:val="20"/>
          <w:u w:val="single"/>
        </w:rPr>
      </w:pPr>
      <w:r w:rsidRPr="00964EB5">
        <w:rPr>
          <w:rFonts w:ascii="Tahoma" w:hAnsi="Tahoma" w:cs="Tahoma"/>
          <w:sz w:val="20"/>
          <w:szCs w:val="20"/>
          <w:u w:val="single"/>
        </w:rPr>
        <w:t xml:space="preserve">- Zawór </w:t>
      </w:r>
      <w:proofErr w:type="spellStart"/>
      <w:r w:rsidRPr="00964EB5">
        <w:rPr>
          <w:rFonts w:ascii="Tahoma" w:hAnsi="Tahoma" w:cs="Tahoma"/>
          <w:sz w:val="20"/>
          <w:szCs w:val="20"/>
          <w:u w:val="single"/>
        </w:rPr>
        <w:t>pop-off</w:t>
      </w:r>
      <w:proofErr w:type="spellEnd"/>
    </w:p>
    <w:p w:rsidR="00964EB5" w:rsidRPr="00964EB5" w:rsidRDefault="00964EB5" w:rsidP="00964EB5">
      <w:pPr>
        <w:pStyle w:val="Bezodstpw"/>
        <w:spacing w:line="276" w:lineRule="auto"/>
        <w:rPr>
          <w:rFonts w:ascii="Tahoma" w:eastAsia="Calibri" w:hAnsi="Tahoma" w:cs="Tahoma"/>
          <w:sz w:val="20"/>
          <w:szCs w:val="20"/>
          <w:u w:val="single"/>
        </w:rPr>
      </w:pPr>
    </w:p>
    <w:p w:rsidR="00964EB5" w:rsidRPr="00964EB5" w:rsidRDefault="00964EB5" w:rsidP="00964EB5">
      <w:pPr>
        <w:pStyle w:val="Bezodstpw"/>
        <w:spacing w:line="276" w:lineRule="auto"/>
        <w:jc w:val="both"/>
        <w:rPr>
          <w:rFonts w:ascii="Tahoma" w:hAnsi="Tahoma" w:cs="Tahoma"/>
          <w:sz w:val="20"/>
          <w:szCs w:val="20"/>
          <w:u w:val="single"/>
        </w:rPr>
      </w:pPr>
      <w:r w:rsidRPr="00964EB5">
        <w:rPr>
          <w:rFonts w:ascii="Tahoma" w:eastAsia="Calibri" w:hAnsi="Tahoma" w:cs="Tahoma"/>
          <w:sz w:val="20"/>
          <w:szCs w:val="20"/>
          <w:u w:val="single"/>
        </w:rPr>
        <w:lastRenderedPageBreak/>
        <w:t xml:space="preserve">Zgodnie z wytycznymi określonymi przez producenta </w:t>
      </w:r>
      <w:r w:rsidRPr="00964EB5">
        <w:rPr>
          <w:rFonts w:ascii="Tahoma" w:hAnsi="Tahoma" w:cs="Tahoma"/>
          <w:sz w:val="20"/>
          <w:szCs w:val="20"/>
          <w:u w:val="single"/>
        </w:rPr>
        <w:t xml:space="preserve">aparatu do znieczulania ogólnego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Aespire</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View</w:t>
      </w:r>
      <w:proofErr w:type="spellEnd"/>
      <w:r w:rsidRPr="00964EB5">
        <w:rPr>
          <w:rFonts w:ascii="Tahoma" w:hAnsi="Tahoma" w:cs="Tahoma"/>
          <w:sz w:val="20"/>
          <w:szCs w:val="20"/>
          <w:u w:val="single"/>
        </w:rPr>
        <w:t xml:space="preserve"> co 24 miesiące lub ze względu na osiągnięcie określonego stopnia zużycia wymagana jest  wymiana następujących części:</w:t>
      </w:r>
    </w:p>
    <w:p w:rsidR="00964EB5" w:rsidRPr="00964EB5" w:rsidRDefault="00964EB5" w:rsidP="00964EB5">
      <w:pPr>
        <w:jc w:val="both"/>
        <w:rPr>
          <w:rFonts w:ascii="Tahoma" w:hAnsi="Tahoma" w:cs="Tahoma"/>
          <w:bCs/>
          <w:sz w:val="20"/>
          <w:szCs w:val="20"/>
          <w:u w:val="single"/>
        </w:rPr>
      </w:pPr>
      <w:r w:rsidRPr="00964EB5">
        <w:rPr>
          <w:rFonts w:ascii="Tahoma" w:hAnsi="Tahoma" w:cs="Tahoma"/>
          <w:bCs/>
          <w:sz w:val="20"/>
          <w:szCs w:val="20"/>
          <w:u w:val="single"/>
        </w:rPr>
        <w:t>- Miech</w:t>
      </w:r>
    </w:p>
    <w:p w:rsidR="00964EB5" w:rsidRPr="00964EB5" w:rsidRDefault="00964EB5" w:rsidP="00964EB5">
      <w:pPr>
        <w:pStyle w:val="Bezodstpw"/>
        <w:spacing w:line="276" w:lineRule="auto"/>
        <w:rPr>
          <w:rFonts w:ascii="Tahoma" w:eastAsia="Calibri"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964EB5">
        <w:rPr>
          <w:rFonts w:ascii="Tahoma" w:hAnsi="Tahoma" w:cs="Tahoma"/>
          <w:sz w:val="20"/>
          <w:szCs w:val="20"/>
        </w:rPr>
        <w:t xml:space="preserve">aparatów do znieczulania ogólnego GE </w:t>
      </w:r>
      <w:proofErr w:type="spellStart"/>
      <w:r w:rsidRPr="00964EB5">
        <w:rPr>
          <w:rFonts w:ascii="Tahoma" w:hAnsi="Tahoma" w:cs="Tahoma"/>
          <w:sz w:val="20"/>
          <w:szCs w:val="20"/>
        </w:rPr>
        <w:t>Datex</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Ohmeda</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Aespire</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View</w:t>
      </w:r>
      <w:proofErr w:type="spellEnd"/>
      <w:r w:rsidRPr="00964EB5">
        <w:rPr>
          <w:rFonts w:ascii="Tahoma" w:hAnsi="Tahoma" w:cs="Tahoma"/>
          <w:sz w:val="20"/>
          <w:szCs w:val="20"/>
        </w:rPr>
        <w:t xml:space="preserve"> </w:t>
      </w:r>
      <w:r w:rsidRPr="00964EB5">
        <w:rPr>
          <w:rFonts w:ascii="Tahoma" w:eastAsia="Calibri" w:hAnsi="Tahoma" w:cs="Tahoma"/>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 Wykonawca na podstawie aktualnej dokumentacji przetargowej nie jest w stanie stwierdzić jakie z ww. podzespołów powinny zostać uwzględnione w wycenie przetargowej.</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8</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pStyle w:val="Bezodstpw"/>
        <w:spacing w:line="276" w:lineRule="auto"/>
        <w:rPr>
          <w:rStyle w:val="normaltextrun"/>
          <w:rFonts w:ascii="Tahoma" w:hAnsi="Tahoma" w:cs="Tahoma"/>
          <w:sz w:val="20"/>
          <w:szCs w:val="20"/>
        </w:rPr>
      </w:pPr>
      <w:r w:rsidRPr="00964EB5">
        <w:rPr>
          <w:rStyle w:val="normaltextrun"/>
          <w:rFonts w:ascii="Tahoma"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 </w:t>
      </w:r>
    </w:p>
    <w:p w:rsidR="00964EB5" w:rsidRPr="00964EB5" w:rsidRDefault="00964EB5" w:rsidP="00964EB5">
      <w:pPr>
        <w:pStyle w:val="Bezodstpw"/>
        <w:spacing w:line="276" w:lineRule="auto"/>
        <w:rPr>
          <w:rStyle w:val="normaltextrun"/>
          <w:rFonts w:ascii="Tahoma" w:hAnsi="Tahoma" w:cs="Tahoma"/>
          <w:sz w:val="20"/>
          <w:szCs w:val="20"/>
        </w:rPr>
      </w:pPr>
    </w:p>
    <w:p w:rsidR="00964EB5" w:rsidRPr="00964EB5" w:rsidRDefault="00964EB5" w:rsidP="00964EB5">
      <w:pPr>
        <w:pStyle w:val="Bezodstpw"/>
        <w:spacing w:line="276" w:lineRule="auto"/>
        <w:rPr>
          <w:rFonts w:ascii="Tahoma" w:eastAsia="Calibri" w:hAnsi="Tahoma" w:cs="Tahoma"/>
          <w:sz w:val="20"/>
          <w:szCs w:val="20"/>
          <w:u w:val="single"/>
        </w:rPr>
      </w:pPr>
      <w:r w:rsidRPr="00964EB5">
        <w:rPr>
          <w:rFonts w:ascii="Tahoma" w:eastAsia="Calibri" w:hAnsi="Tahoma" w:cs="Tahoma"/>
          <w:sz w:val="20"/>
          <w:szCs w:val="20"/>
          <w:u w:val="single"/>
        </w:rPr>
        <w:t xml:space="preserve">Zgodnie z wytycznymi określonymi przez producenta respiratora </w:t>
      </w:r>
      <w:proofErr w:type="spellStart"/>
      <w:r w:rsidRPr="00964EB5">
        <w:rPr>
          <w:rFonts w:ascii="Tahoma" w:eastAsia="Calibri" w:hAnsi="Tahoma" w:cs="Tahoma"/>
          <w:sz w:val="20"/>
          <w:szCs w:val="20"/>
          <w:u w:val="single"/>
        </w:rPr>
        <w:t>Weinmann</w:t>
      </w:r>
      <w:proofErr w:type="spellEnd"/>
      <w:r w:rsidRPr="00964EB5">
        <w:rPr>
          <w:rFonts w:ascii="Tahoma" w:eastAsia="Calibri" w:hAnsi="Tahoma" w:cs="Tahoma"/>
          <w:sz w:val="20"/>
          <w:szCs w:val="20"/>
          <w:u w:val="single"/>
        </w:rPr>
        <w:t xml:space="preserve"> </w:t>
      </w:r>
      <w:proofErr w:type="spellStart"/>
      <w:r w:rsidRPr="00964EB5">
        <w:rPr>
          <w:rFonts w:ascii="Tahoma" w:eastAsia="Calibri" w:hAnsi="Tahoma" w:cs="Tahoma"/>
          <w:sz w:val="20"/>
          <w:szCs w:val="20"/>
          <w:u w:val="single"/>
        </w:rPr>
        <w:t>Medumat</w:t>
      </w:r>
      <w:proofErr w:type="spellEnd"/>
      <w:r w:rsidRPr="00964EB5">
        <w:rPr>
          <w:rFonts w:ascii="Tahoma" w:eastAsia="Calibri" w:hAnsi="Tahoma" w:cs="Tahoma"/>
          <w:sz w:val="20"/>
          <w:szCs w:val="20"/>
          <w:u w:val="single"/>
        </w:rPr>
        <w:t xml:space="preserve"> Standard wymagana jest wymiana następujących części: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Zestaw konserwacyjny 2 letni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Zestaw konserwacyjny 8 letni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Zestaw konserwacyjny 12 letni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Zestaw konserwacyjny (14) 16 letni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Odpowiednio co 2, 8, 12, 14/16 lat</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 xml:space="preserve">Potencjalni Wykonawcy nie mają wiedzy na temat daty ostatniej wymiany ww. części. Wskazanie Wykonawcom ww. informacji jest niezbędne do określenia czy i ewentualnie jakie części mają zostać uwzględnione w ofercie. Prosimy o jednoznaczne wytyczne czy i dla których respiratorów </w:t>
      </w:r>
      <w:proofErr w:type="spellStart"/>
      <w:r w:rsidRPr="00964EB5">
        <w:rPr>
          <w:rFonts w:ascii="Tahoma" w:eastAsia="Calibri" w:hAnsi="Tahoma" w:cs="Tahoma"/>
          <w:sz w:val="20"/>
          <w:szCs w:val="20"/>
        </w:rPr>
        <w:t>Weinmann</w:t>
      </w:r>
      <w:proofErr w:type="spellEnd"/>
      <w:r w:rsidRPr="00964EB5">
        <w:rPr>
          <w:rStyle w:val="spellingerror"/>
          <w:rFonts w:ascii="Tahoma" w:hAnsi="Tahoma" w:cs="Tahoma"/>
          <w:sz w:val="20"/>
          <w:szCs w:val="20"/>
        </w:rPr>
        <w:t xml:space="preserve"> </w:t>
      </w:r>
      <w:proofErr w:type="spellStart"/>
      <w:r w:rsidRPr="00964EB5">
        <w:rPr>
          <w:rFonts w:ascii="Tahoma" w:eastAsia="Calibri" w:hAnsi="Tahoma" w:cs="Tahoma"/>
          <w:sz w:val="20"/>
          <w:szCs w:val="20"/>
        </w:rPr>
        <w:t>Medumat</w:t>
      </w:r>
      <w:proofErr w:type="spellEnd"/>
      <w:r w:rsidRPr="00964EB5">
        <w:rPr>
          <w:rFonts w:ascii="Tahoma" w:eastAsia="Calibri" w:hAnsi="Tahoma" w:cs="Tahoma"/>
          <w:sz w:val="20"/>
          <w:szCs w:val="20"/>
        </w:rPr>
        <w:t xml:space="preserve"> Standard Zamawiający wymaga w trakcie okresu obowiązywania umowy wymiany ww. części. Jeśli wymiana jest wymagana prosimy o podanie numerów fabrycznych urządzeń których dotyczy. Jeżeli Zamawiający nie jest w stanie zweryfikować daty ostatniej wymiany tych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10,11,12</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lastRenderedPageBreak/>
        <w:t>Zgodnie z wytycznymi określonymi przez producentów  defibrylatorów wymagana jest  wymiana następujących części gdy osiągną określony stopień zużycia lub datę kolejnej wymiany:</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Akumulator</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964EB5">
        <w:rPr>
          <w:rFonts w:ascii="Tahoma" w:hAnsi="Tahoma" w:cs="Tahoma"/>
          <w:sz w:val="20"/>
          <w:szCs w:val="20"/>
        </w:rPr>
        <w:t xml:space="preserve">defibrylatorów  </w:t>
      </w:r>
      <w:r w:rsidRPr="00964EB5">
        <w:rPr>
          <w:rFonts w:ascii="Tahoma" w:eastAsia="Calibri" w:hAnsi="Tahoma" w:cs="Tahoma"/>
          <w:sz w:val="20"/>
          <w:szCs w:val="20"/>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13,16,33</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Zgodnie z wytycznymi określonymi przez producentów  pomp infuzyjnych i strzykawek automatycznych wymagana jest  wymiana następujących części gdy osiągną określony stopień zużycia lub datę kolejnej wymiany:</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Akumulator</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964EB5">
        <w:rPr>
          <w:rFonts w:ascii="Tahoma" w:hAnsi="Tahoma" w:cs="Tahoma"/>
          <w:sz w:val="20"/>
          <w:szCs w:val="20"/>
        </w:rPr>
        <w:t xml:space="preserve">pomp infuzyjnych i strzykawek automatycznych </w:t>
      </w:r>
      <w:r w:rsidRPr="00964EB5">
        <w:rPr>
          <w:rFonts w:ascii="Tahoma" w:eastAsia="Calibri" w:hAnsi="Tahoma" w:cs="Tahoma"/>
          <w:sz w:val="20"/>
          <w:szCs w:val="20"/>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Zadanie 20</w:t>
      </w:r>
    </w:p>
    <w:p w:rsidR="00964EB5" w:rsidRP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Zgodnie z zapisami SIWZ zakres przeglądu obejmuje  m. </w:t>
      </w:r>
      <w:proofErr w:type="spellStart"/>
      <w:r w:rsidRPr="00964EB5">
        <w:rPr>
          <w:rFonts w:ascii="Tahoma" w:hAnsi="Tahoma" w:cs="Tahoma"/>
          <w:sz w:val="20"/>
          <w:szCs w:val="20"/>
        </w:rPr>
        <w:t>in</w:t>
      </w:r>
      <w:proofErr w:type="spellEnd"/>
      <w:r w:rsidRPr="00964EB5">
        <w:rPr>
          <w:rFonts w:ascii="Tahoma" w:hAnsi="Tahoma" w:cs="Tahoma"/>
          <w:sz w:val="20"/>
          <w:szCs w:val="20"/>
        </w:rPr>
        <w:t>: wymianę części zamiennych – zestawów serwisowych przewidzianych do wymiany zgodnie z zaleceniami producenta danego urządzenia.</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Zgodnie z wytycznymi określonymi przez producenta aparatu do znieczulania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Excel 210 co 12 miesięcy wymagana jest wymiana następujących części: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 Uszczelki gniazd parowników </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xml:space="preserve">Zgodnie z wytycznymi określonymi przez producenta aparatu do znieczulania GE </w:t>
      </w:r>
      <w:proofErr w:type="spellStart"/>
      <w:r w:rsidRPr="00964EB5">
        <w:rPr>
          <w:rFonts w:ascii="Tahoma" w:hAnsi="Tahoma" w:cs="Tahoma"/>
          <w:sz w:val="20"/>
          <w:szCs w:val="20"/>
          <w:u w:val="single"/>
        </w:rPr>
        <w:t>Datex</w:t>
      </w:r>
      <w:proofErr w:type="spellEnd"/>
      <w:r w:rsidRPr="00964EB5">
        <w:rPr>
          <w:rFonts w:ascii="Tahoma" w:hAnsi="Tahoma" w:cs="Tahoma"/>
          <w:sz w:val="20"/>
          <w:szCs w:val="20"/>
          <w:u w:val="single"/>
        </w:rPr>
        <w:t xml:space="preserve"> </w:t>
      </w:r>
      <w:proofErr w:type="spellStart"/>
      <w:r w:rsidRPr="00964EB5">
        <w:rPr>
          <w:rFonts w:ascii="Tahoma" w:hAnsi="Tahoma" w:cs="Tahoma"/>
          <w:sz w:val="20"/>
          <w:szCs w:val="20"/>
          <w:u w:val="single"/>
        </w:rPr>
        <w:t>Ohmeda</w:t>
      </w:r>
      <w:proofErr w:type="spellEnd"/>
      <w:r w:rsidRPr="00964EB5">
        <w:rPr>
          <w:rFonts w:ascii="Tahoma" w:hAnsi="Tahoma" w:cs="Tahoma"/>
          <w:sz w:val="20"/>
          <w:szCs w:val="20"/>
          <w:u w:val="single"/>
        </w:rPr>
        <w:t xml:space="preserve"> Excel 210 co 24 miesiące wymagana jest wymiana następujących części:</w:t>
      </w:r>
    </w:p>
    <w:p w:rsidR="00964EB5" w:rsidRPr="00964EB5" w:rsidRDefault="00964EB5" w:rsidP="00964EB5">
      <w:pPr>
        <w:pStyle w:val="Bezodstpw"/>
        <w:spacing w:line="276" w:lineRule="auto"/>
        <w:rPr>
          <w:rFonts w:ascii="Tahoma" w:hAnsi="Tahoma" w:cs="Tahoma"/>
          <w:sz w:val="20"/>
          <w:szCs w:val="20"/>
          <w:u w:val="single"/>
        </w:rPr>
      </w:pPr>
      <w:r w:rsidRPr="00964EB5">
        <w:rPr>
          <w:rFonts w:ascii="Tahoma" w:hAnsi="Tahoma" w:cs="Tahoma"/>
          <w:sz w:val="20"/>
          <w:szCs w:val="20"/>
          <w:u w:val="single"/>
        </w:rPr>
        <w:t>- Akumulator (respirator 7000)</w:t>
      </w:r>
    </w:p>
    <w:p w:rsidR="00964EB5" w:rsidRPr="00964EB5" w:rsidRDefault="00964EB5" w:rsidP="00964EB5">
      <w:pPr>
        <w:pStyle w:val="Bezodstpw"/>
        <w:spacing w:line="276" w:lineRule="auto"/>
        <w:rPr>
          <w:rFonts w:ascii="Tahoma" w:hAnsi="Tahoma" w:cs="Tahoma"/>
          <w:sz w:val="20"/>
          <w:szCs w:val="20"/>
          <w:u w:val="single"/>
        </w:rPr>
      </w:pPr>
    </w:p>
    <w:p w:rsidR="00964EB5" w:rsidRPr="00964EB5" w:rsidRDefault="00964EB5" w:rsidP="00964EB5">
      <w:pPr>
        <w:jc w:val="both"/>
        <w:rPr>
          <w:rFonts w:ascii="Tahoma" w:hAnsi="Tahoma" w:cs="Tahoma"/>
          <w:sz w:val="20"/>
          <w:szCs w:val="20"/>
        </w:rPr>
      </w:pPr>
      <w:r w:rsidRPr="00964EB5">
        <w:rPr>
          <w:rFonts w:ascii="Tahoma" w:eastAsia="Calibri" w:hAnsi="Tahoma" w:cs="Tahoma"/>
          <w:sz w:val="20"/>
          <w:szCs w:val="20"/>
        </w:rPr>
        <w:lastRenderedPageBreak/>
        <w:t xml:space="preserve">Potencjalni Wykonawcy nie mają wiedzy na temat daty ostatniej wymiany i stopnia zużycia ww. części. Wskazanie Wykonawcom ww. informacji jest niezbędne do określenia czy i ewentualnie jakie części mają zostać uwzględnione w ofercie. Prosimy o jednoznaczne wytyczne czy i dla których </w:t>
      </w:r>
      <w:r w:rsidRPr="00964EB5">
        <w:rPr>
          <w:rFonts w:ascii="Tahoma" w:hAnsi="Tahoma" w:cs="Tahoma"/>
          <w:sz w:val="20"/>
          <w:szCs w:val="20"/>
        </w:rPr>
        <w:t xml:space="preserve">aparatów do znieczulania ogólnego GE </w:t>
      </w:r>
      <w:proofErr w:type="spellStart"/>
      <w:r w:rsidRPr="00964EB5">
        <w:rPr>
          <w:rFonts w:ascii="Tahoma" w:hAnsi="Tahoma" w:cs="Tahoma"/>
          <w:sz w:val="20"/>
          <w:szCs w:val="20"/>
        </w:rPr>
        <w:t>Datex</w:t>
      </w:r>
      <w:proofErr w:type="spellEnd"/>
      <w:r w:rsidRPr="00964EB5">
        <w:rPr>
          <w:rFonts w:ascii="Tahoma" w:hAnsi="Tahoma" w:cs="Tahoma"/>
          <w:sz w:val="20"/>
          <w:szCs w:val="20"/>
        </w:rPr>
        <w:t xml:space="preserve"> </w:t>
      </w:r>
      <w:proofErr w:type="spellStart"/>
      <w:r w:rsidRPr="00964EB5">
        <w:rPr>
          <w:rFonts w:ascii="Tahoma" w:hAnsi="Tahoma" w:cs="Tahoma"/>
          <w:sz w:val="20"/>
          <w:szCs w:val="20"/>
        </w:rPr>
        <w:t>Ohmeda</w:t>
      </w:r>
      <w:proofErr w:type="spellEnd"/>
      <w:r w:rsidRPr="00964EB5">
        <w:rPr>
          <w:rFonts w:ascii="Tahoma" w:hAnsi="Tahoma" w:cs="Tahoma"/>
          <w:sz w:val="20"/>
          <w:szCs w:val="20"/>
        </w:rPr>
        <w:t xml:space="preserve"> Excel 210 </w:t>
      </w:r>
      <w:r w:rsidRPr="00964EB5">
        <w:rPr>
          <w:rFonts w:ascii="Tahoma" w:eastAsia="Calibri" w:hAnsi="Tahoma" w:cs="Tahoma"/>
          <w:sz w:val="20"/>
          <w:szCs w:val="20"/>
        </w:rPr>
        <w:t>Zamawiający wymaga w trakcie okresu obowiązywania umowy wymiany ww. części. Jeśli wymiana jest wymagana prosimy o podanie numerów fabrycznych urządzeń których dotyczy. Jeżeli Zamawiający nie jest w stanie zweryfikować daty ostatniej wymiany i stopnia zużycia tych części prosimy o zrezygnowanie z konieczności uwzględnienia ich wymiany w cenie przeglądu i wprowadzenie zapisu, z którego będzie jasno wynikać, że wymiana będzie dokonywana zgodnie z zaleceniami serwisu po przeglądzie.</w:t>
      </w:r>
    </w:p>
    <w:p w:rsid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4C14CB" w:rsidRPr="004C14CB" w:rsidRDefault="004C14CB" w:rsidP="00964EB5">
      <w:pPr>
        <w:jc w:val="both"/>
        <w:rPr>
          <w:rFonts w:ascii="Tahoma" w:eastAsia="Calibri" w:hAnsi="Tahoma" w:cs="Tahoma"/>
          <w:b/>
          <w:sz w:val="20"/>
          <w:szCs w:val="20"/>
        </w:rPr>
      </w:pPr>
      <w:r w:rsidRPr="004C14CB">
        <w:rPr>
          <w:rFonts w:ascii="Tahoma" w:eastAsia="Calibri" w:hAnsi="Tahoma" w:cs="Tahoma"/>
          <w:b/>
          <w:sz w:val="20"/>
          <w:szCs w:val="20"/>
        </w:rPr>
        <w:t>Odpowiedz zadanie 1-8:</w:t>
      </w:r>
    </w:p>
    <w:p w:rsidR="004C14CB" w:rsidRPr="002B3750" w:rsidRDefault="004C14CB" w:rsidP="004C14CB">
      <w:pPr>
        <w:shd w:val="clear" w:color="auto" w:fill="FFFFFF"/>
        <w:jc w:val="both"/>
        <w:rPr>
          <w:rFonts w:ascii="Tahoma" w:hAnsi="Tahoma" w:cs="Tahoma"/>
          <w:b/>
          <w:sz w:val="20"/>
          <w:szCs w:val="20"/>
        </w:rPr>
      </w:pPr>
      <w:r>
        <w:rPr>
          <w:rFonts w:ascii="Tahoma" w:hAnsi="Tahoma" w:cs="Tahoma"/>
          <w:b/>
          <w:sz w:val="20"/>
          <w:szCs w:val="20"/>
        </w:rPr>
        <w:t xml:space="preserve">W zakres przeglądu </w:t>
      </w:r>
      <w:r w:rsidRPr="002B3750">
        <w:rPr>
          <w:rFonts w:ascii="Tahoma" w:hAnsi="Tahoma" w:cs="Tahoma"/>
          <w:b/>
          <w:sz w:val="20"/>
          <w:szCs w:val="20"/>
        </w:rPr>
        <w:t>wchodzi równie</w:t>
      </w:r>
      <w:r>
        <w:rPr>
          <w:rFonts w:ascii="Tahoma" w:hAnsi="Tahoma" w:cs="Tahoma"/>
          <w:b/>
          <w:sz w:val="20"/>
          <w:szCs w:val="20"/>
        </w:rPr>
        <w:t xml:space="preserve">ż wymiana </w:t>
      </w:r>
      <w:r w:rsidRPr="002B3750">
        <w:rPr>
          <w:rFonts w:ascii="Tahoma" w:hAnsi="Tahoma" w:cs="Tahoma"/>
          <w:b/>
          <w:sz w:val="20"/>
          <w:szCs w:val="20"/>
        </w:rPr>
        <w:t xml:space="preserve"> akumulatorów. W rama</w:t>
      </w:r>
      <w:r>
        <w:rPr>
          <w:rFonts w:ascii="Tahoma" w:hAnsi="Tahoma" w:cs="Tahoma"/>
          <w:b/>
          <w:sz w:val="20"/>
          <w:szCs w:val="20"/>
        </w:rPr>
        <w:t>ch przeglądów</w:t>
      </w:r>
      <w:r w:rsidRPr="002B3750">
        <w:rPr>
          <w:rFonts w:ascii="Tahoma" w:hAnsi="Tahoma" w:cs="Tahoma"/>
          <w:b/>
          <w:sz w:val="20"/>
          <w:szCs w:val="20"/>
        </w:rPr>
        <w:t xml:space="preserve"> akumulatory nie muszą – lecz mogą – być wymienione w przypadku stwierdzenia takiej konieczności przez serwis. Dlatego, Wykonawca winien zawrzeć w swojej ofercie m. innymi wymianę akumulatorów, jak również wymianę części –zgodnie z zaleceniami Producenta.  Wykonawca wypełnia odpowiednio formularz cenowy Załącznik nr 2do SIWZ z wyszczególnieniem, co wchodzi w skład ceny (materiały ,czynności cena jednostkowa) w przypadku braku konieczności wymiany w/</w:t>
      </w:r>
      <w:proofErr w:type="spellStart"/>
      <w:r w:rsidRPr="002B3750">
        <w:rPr>
          <w:rFonts w:ascii="Tahoma" w:hAnsi="Tahoma" w:cs="Tahoma"/>
          <w:b/>
          <w:sz w:val="20"/>
          <w:szCs w:val="20"/>
        </w:rPr>
        <w:t>w</w:t>
      </w:r>
      <w:proofErr w:type="spellEnd"/>
      <w:r w:rsidRPr="002B3750">
        <w:rPr>
          <w:rFonts w:ascii="Tahoma" w:hAnsi="Tahoma" w:cs="Tahoma"/>
          <w:b/>
          <w:sz w:val="20"/>
          <w:szCs w:val="20"/>
        </w:rPr>
        <w:t xml:space="preserve"> elementów Zamawiający zapłaci Wykonawcy cenę niższa – cenę za faktycznie wykonaną usługę i części wykorzystane przy przeglądzie. Zamawiający podaje w SIWZ termin kolejnego przeglądu.</w:t>
      </w:r>
    </w:p>
    <w:p w:rsidR="004C14CB" w:rsidRPr="00964EB5" w:rsidRDefault="004C14CB" w:rsidP="00964EB5">
      <w:pPr>
        <w:jc w:val="both"/>
        <w:rPr>
          <w:rFonts w:ascii="Tahoma" w:eastAsia="Calibri" w:hAnsi="Tahoma" w:cs="Tahoma"/>
          <w:sz w:val="20"/>
          <w:szCs w:val="20"/>
        </w:rPr>
      </w:pPr>
    </w:p>
    <w:p w:rsidR="00964EB5" w:rsidRPr="00964EB5" w:rsidRDefault="00964EB5" w:rsidP="00964EB5">
      <w:pPr>
        <w:pStyle w:val="Akapitzlist"/>
        <w:numPr>
          <w:ilvl w:val="0"/>
          <w:numId w:val="29"/>
        </w:numPr>
        <w:shd w:val="clear" w:color="auto" w:fill="FFFFFF"/>
        <w:spacing w:before="120" w:after="0"/>
        <w:jc w:val="both"/>
        <w:rPr>
          <w:rFonts w:ascii="Tahoma" w:hAnsi="Tahoma" w:cs="Tahoma"/>
          <w:b/>
          <w:bCs/>
          <w:sz w:val="20"/>
          <w:szCs w:val="20"/>
        </w:rPr>
      </w:pPr>
      <w:r w:rsidRPr="00964EB5">
        <w:rPr>
          <w:rFonts w:ascii="Tahoma" w:hAnsi="Tahoma" w:cs="Tahoma"/>
          <w:b/>
          <w:bCs/>
          <w:sz w:val="20"/>
          <w:szCs w:val="20"/>
        </w:rPr>
        <w:t>Dotyczy: warunków udziału w postępowaniu</w:t>
      </w:r>
    </w:p>
    <w:p w:rsidR="00964EB5" w:rsidRPr="00964EB5" w:rsidRDefault="00964EB5" w:rsidP="00964EB5">
      <w:pPr>
        <w:jc w:val="both"/>
        <w:rPr>
          <w:rFonts w:ascii="Tahoma" w:eastAsia="Calibri" w:hAnsi="Tahoma" w:cs="Tahoma"/>
          <w:sz w:val="20"/>
          <w:szCs w:val="20"/>
        </w:rPr>
      </w:pPr>
      <w:r w:rsidRPr="00964EB5">
        <w:rPr>
          <w:rFonts w:ascii="Tahoma" w:eastAsia="Calibri" w:hAnsi="Tahoma" w:cs="Tahoma"/>
          <w:sz w:val="20"/>
          <w:szCs w:val="20"/>
        </w:rPr>
        <w:t xml:space="preserve">Zwracamy się z uprzejmą prośbą o wyjaśnienie, czy Zamawiający dopuści do udziału w postępowaniu wykonawców nie dysponujących osobami posiadającymi autoryzację (tj. nie posiadają </w:t>
      </w:r>
      <w:proofErr w:type="spellStart"/>
      <w:r w:rsidRPr="00964EB5">
        <w:rPr>
          <w:rFonts w:ascii="Tahoma" w:eastAsia="Calibri" w:hAnsi="Tahoma" w:cs="Tahoma"/>
          <w:sz w:val="20"/>
          <w:szCs w:val="20"/>
        </w:rPr>
        <w:t>uprawnienń</w:t>
      </w:r>
      <w:proofErr w:type="spellEnd"/>
      <w:r w:rsidRPr="00964EB5">
        <w:rPr>
          <w:rFonts w:ascii="Tahoma" w:eastAsia="Calibri" w:hAnsi="Tahoma" w:cs="Tahoma"/>
          <w:sz w:val="20"/>
          <w:szCs w:val="20"/>
        </w:rPr>
        <w:t xml:space="preserve"> nabytych u producenta/wytwórcy/autoryzowanego serwisu lub podczas szkoleń realizowanych przez firmy zewnętrzne), o której mowa w Części II </w:t>
      </w:r>
      <w:proofErr w:type="spellStart"/>
      <w:r w:rsidRPr="00964EB5">
        <w:rPr>
          <w:rFonts w:ascii="Tahoma" w:eastAsia="Calibri" w:hAnsi="Tahoma" w:cs="Tahoma"/>
          <w:sz w:val="20"/>
          <w:szCs w:val="20"/>
        </w:rPr>
        <w:t>pkt</w:t>
      </w:r>
      <w:proofErr w:type="spellEnd"/>
      <w:r w:rsidRPr="00964EB5">
        <w:rPr>
          <w:rFonts w:ascii="Tahoma" w:eastAsia="Calibri" w:hAnsi="Tahoma" w:cs="Tahoma"/>
          <w:sz w:val="20"/>
          <w:szCs w:val="20"/>
        </w:rPr>
        <w:t xml:space="preserve"> 2 lit. C) SIWZ, ale posiadających wymienione poniżej certyfikaty i kwalifikacje? Niniejszy wniosek uzasadniamy okolicznościami z których wynika, że na gruncie obowiązujących przepisów oraz standardów prawa zamówień publicznych tego rodzaju wymagania stanowią naruszenie zasady uczciwej konkurencji i równego traktowania Wykonawców, ponieważ aktualnie na rynku funkcjonują podmioty gwarantujące możliwość wykonania przeglądu </w:t>
      </w:r>
      <w:proofErr w:type="spellStart"/>
      <w:r w:rsidRPr="00964EB5">
        <w:rPr>
          <w:rFonts w:ascii="Tahoma" w:eastAsia="Calibri" w:hAnsi="Tahoma" w:cs="Tahoma"/>
          <w:sz w:val="20"/>
          <w:szCs w:val="20"/>
        </w:rPr>
        <w:t>wg</w:t>
      </w:r>
      <w:proofErr w:type="spellEnd"/>
      <w:r w:rsidRPr="00964EB5">
        <w:rPr>
          <w:rFonts w:ascii="Tahoma" w:eastAsia="Calibri" w:hAnsi="Tahoma" w:cs="Tahoma"/>
          <w:sz w:val="20"/>
          <w:szCs w:val="20"/>
        </w:rPr>
        <w:t xml:space="preserve">. tych samych standardów co autoryzowany przedstawiciel producenta lub producent. Pragniemy zauważyć, że m.in. wdrożenie systemu norm w zakresie sprzedaży, instalacji i serwisu urządzeń medycznych (nr norm PN-EN ISO 9001:2009 oraz PN-EN ISO 9001:2015 a także PN-EN ISO 13485:2012), personel posiadający wieloletnie doświadczenie praktyczne oraz specjalistyczne (udokumentowane) </w:t>
      </w:r>
      <w:proofErr w:type="spellStart"/>
      <w:r w:rsidRPr="00964EB5">
        <w:rPr>
          <w:rFonts w:ascii="Tahoma" w:eastAsia="Calibri" w:hAnsi="Tahoma" w:cs="Tahoma"/>
          <w:sz w:val="20"/>
          <w:szCs w:val="20"/>
        </w:rPr>
        <w:t>wyksztalcenie</w:t>
      </w:r>
      <w:proofErr w:type="spellEnd"/>
      <w:r w:rsidRPr="00964EB5">
        <w:rPr>
          <w:rFonts w:ascii="Tahoma" w:eastAsia="Calibri" w:hAnsi="Tahoma" w:cs="Tahoma"/>
          <w:sz w:val="20"/>
          <w:szCs w:val="20"/>
        </w:rPr>
        <w:t xml:space="preserve"> i przeszkolenie, jak również bezpośredni dostęp do materiałów oraz części zamiennych pochodzących bezpośrednio od producenta daje tę samą gwarancję wykonania zamówienia w sposób należyty, co autoryzowany przedstawiciel producenta. </w:t>
      </w:r>
    </w:p>
    <w:p w:rsidR="00964EB5" w:rsidRPr="00964EB5" w:rsidRDefault="00964EB5" w:rsidP="00964EB5">
      <w:pPr>
        <w:shd w:val="clear" w:color="auto" w:fill="FFFFFF"/>
        <w:spacing w:before="120"/>
        <w:jc w:val="both"/>
        <w:rPr>
          <w:rStyle w:val="eop"/>
          <w:rFonts w:ascii="Tahoma" w:hAnsi="Tahoma" w:cs="Tahoma"/>
          <w:sz w:val="20"/>
          <w:szCs w:val="20"/>
        </w:rPr>
      </w:pPr>
      <w:r w:rsidRPr="00964EB5">
        <w:rPr>
          <w:rFonts w:ascii="Tahoma" w:hAnsi="Tahoma" w:cs="Tahoma"/>
          <w:sz w:val="20"/>
          <w:szCs w:val="20"/>
        </w:rPr>
        <w:t>Wobec powyższego wnioskujemy o zmianę przyjętych dotychczas warunków udziału w postępowaniu i dopuszczenie do udziału wykonawców, którzy posiadają wdrożony i certyfikowany w strukturach swej działalności system norm PN-EN ISO 9001:2009 oraz PN-EN ISO 9001:2015, a także PNEN ISO 13485:2012, uprawnienia SEP (Kategoria „E”, „D”), a także ponad 10 letnie doświadczenie w zakresie serwisu aparatury medycznej i przeszkolony personel w zakresie serwisu aparatury medycznej innych producentów.</w:t>
      </w:r>
    </w:p>
    <w:p w:rsidR="00964EB5" w:rsidRDefault="00964EB5" w:rsidP="00964EB5">
      <w:pPr>
        <w:shd w:val="clear" w:color="auto" w:fill="FFFFFF"/>
        <w:spacing w:before="120"/>
        <w:jc w:val="both"/>
        <w:rPr>
          <w:rFonts w:ascii="Tahoma" w:hAnsi="Tahoma" w:cs="Tahoma"/>
          <w:sz w:val="20"/>
          <w:szCs w:val="20"/>
        </w:rPr>
      </w:pPr>
      <w:r w:rsidRPr="00964EB5">
        <w:rPr>
          <w:rFonts w:ascii="Tahoma" w:hAnsi="Tahoma" w:cs="Tahoma"/>
          <w:sz w:val="20"/>
          <w:szCs w:val="20"/>
        </w:rPr>
        <w:t xml:space="preserve">Niniejszy wniosek uzupełniam dodatkowo informacją, że wymóg wykazania się przez wykonawców posiadaniem autoryzacji jest postrzegany jako naruszenie zasady uczciwej konkurencji lub równego traktowania wykonawców, należy również uwzględnić stanowisko Krajowej Izby Odwoławczej, która w sentencji jednego ze swych orzeczeń stwierdziła, że w zakresie odniesienia się odwołującego do art. 90  ust. 4 i następnie ustawy z 20 maja 2010 roku o wyrobach medycznych, należy podnieść, co wskazał również zamawiający, iż przepisy te są adresowane do podmiotów dokonujących wprowadzenia  wyrobów medycznych do obrotu. Wskazać należy również, że </w:t>
      </w:r>
      <w:r w:rsidRPr="00964EB5">
        <w:rPr>
          <w:rFonts w:ascii="Tahoma" w:hAnsi="Tahoma" w:cs="Tahoma"/>
          <w:b/>
          <w:bCs/>
          <w:sz w:val="20"/>
          <w:szCs w:val="20"/>
          <w:u w:val="single"/>
        </w:rPr>
        <w:t>ustawa nie określa, że działania serwisowe mogą wykonywać jedynie podmioty autoryzowane przez wytwórcę</w:t>
      </w:r>
      <w:r w:rsidRPr="00964EB5">
        <w:rPr>
          <w:rFonts w:ascii="Tahoma" w:hAnsi="Tahoma" w:cs="Tahoma"/>
          <w:sz w:val="20"/>
          <w:szCs w:val="20"/>
        </w:rPr>
        <w:t>. Tym samym nie istnieje ograniczenie możliwości  w określeniu takiego wymagania przez Zamawiającego. (Por. wyrok KIO z dnia 11 czerwca 2012r. sygn. akt 1073/12).</w:t>
      </w:r>
    </w:p>
    <w:p w:rsidR="004C14CB" w:rsidRPr="00494BE9" w:rsidRDefault="004C14CB" w:rsidP="00964EB5">
      <w:pPr>
        <w:shd w:val="clear" w:color="auto" w:fill="FFFFFF"/>
        <w:spacing w:before="120"/>
        <w:jc w:val="both"/>
        <w:rPr>
          <w:rFonts w:ascii="Tahoma" w:hAnsi="Tahoma" w:cs="Tahoma"/>
          <w:b/>
          <w:sz w:val="20"/>
          <w:szCs w:val="20"/>
        </w:rPr>
      </w:pPr>
      <w:r w:rsidRPr="00494BE9">
        <w:rPr>
          <w:rFonts w:ascii="Tahoma" w:hAnsi="Tahoma" w:cs="Tahoma"/>
          <w:b/>
          <w:sz w:val="20"/>
          <w:szCs w:val="20"/>
        </w:rPr>
        <w:t xml:space="preserve">Odpowiedz: Zgodnie z SIWZ. </w:t>
      </w:r>
      <w:r w:rsidR="00494BE9" w:rsidRPr="00494BE9">
        <w:rPr>
          <w:rFonts w:ascii="Tahoma" w:hAnsi="Tahoma" w:cs="Tahoma"/>
          <w:b/>
          <w:sz w:val="20"/>
          <w:szCs w:val="20"/>
        </w:rPr>
        <w:t xml:space="preserve">Zamawiający nie </w:t>
      </w:r>
      <w:r w:rsidR="00494BE9">
        <w:rPr>
          <w:rFonts w:ascii="Tahoma" w:hAnsi="Tahoma" w:cs="Tahoma"/>
          <w:b/>
          <w:sz w:val="20"/>
          <w:szCs w:val="20"/>
        </w:rPr>
        <w:t>ogranicza</w:t>
      </w:r>
      <w:r w:rsidR="00494BE9" w:rsidRPr="00494BE9">
        <w:rPr>
          <w:rFonts w:ascii="Tahoma" w:hAnsi="Tahoma" w:cs="Tahoma"/>
          <w:b/>
          <w:sz w:val="20"/>
          <w:szCs w:val="20"/>
        </w:rPr>
        <w:t xml:space="preserve"> się do autoryzowanych serwisów.</w:t>
      </w:r>
    </w:p>
    <w:p w:rsidR="00964EB5" w:rsidRPr="00964EB5" w:rsidRDefault="00964EB5" w:rsidP="00964EB5">
      <w:pPr>
        <w:shd w:val="clear" w:color="auto" w:fill="FFFFFF"/>
        <w:spacing w:before="120"/>
        <w:jc w:val="both"/>
        <w:rPr>
          <w:rFonts w:ascii="Tahoma" w:hAnsi="Tahoma" w:cs="Tahoma"/>
          <w:sz w:val="20"/>
          <w:szCs w:val="20"/>
        </w:rPr>
      </w:pPr>
    </w:p>
    <w:p w:rsidR="00964EB5" w:rsidRPr="00964EB5" w:rsidRDefault="00964EB5" w:rsidP="00964EB5">
      <w:pPr>
        <w:rPr>
          <w:rFonts w:ascii="Tahoma" w:hAnsi="Tahoma" w:cs="Tahoma"/>
          <w:sz w:val="20"/>
          <w:szCs w:val="20"/>
        </w:rPr>
      </w:pPr>
      <w:bookmarkStart w:id="1" w:name="_GoBack"/>
      <w:bookmarkEnd w:id="1"/>
    </w:p>
    <w:p w:rsidR="000E2493" w:rsidRPr="00964EB5" w:rsidRDefault="000E2493" w:rsidP="004C6414">
      <w:pPr>
        <w:pStyle w:val="Akapitzlist"/>
        <w:tabs>
          <w:tab w:val="right" w:pos="2145"/>
          <w:tab w:val="left" w:pos="2175"/>
          <w:tab w:val="left" w:pos="3555"/>
          <w:tab w:val="left" w:pos="3660"/>
        </w:tabs>
        <w:jc w:val="both"/>
        <w:rPr>
          <w:rFonts w:ascii="Tahoma" w:hAnsi="Tahoma" w:cs="Tahoma"/>
          <w:sz w:val="20"/>
          <w:szCs w:val="20"/>
        </w:rPr>
      </w:pPr>
    </w:p>
    <w:sectPr w:rsidR="000E2493" w:rsidRPr="00964EB5"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F" w:rsidRDefault="0042062F">
      <w:r>
        <w:separator/>
      </w:r>
    </w:p>
  </w:endnote>
  <w:endnote w:type="continuationSeparator" w:id="0">
    <w:p w:rsidR="0042062F" w:rsidRDefault="004206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CA3274">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CA3274">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F" w:rsidRDefault="0042062F">
      <w:r>
        <w:separator/>
      </w:r>
    </w:p>
  </w:footnote>
  <w:footnote w:type="continuationSeparator" w:id="0">
    <w:p w:rsidR="0042062F" w:rsidRDefault="0042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CA3274">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CA3274">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414858"/>
    <w:multiLevelType w:val="hybridMultilevel"/>
    <w:tmpl w:val="016A7CAA"/>
    <w:lvl w:ilvl="0" w:tplc="80B2C0B2">
      <w:start w:val="20"/>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345A85"/>
    <w:multiLevelType w:val="hybridMultilevel"/>
    <w:tmpl w:val="2AE029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FF189C"/>
    <w:multiLevelType w:val="multilevel"/>
    <w:tmpl w:val="9E70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nsid w:val="246C0E72"/>
    <w:multiLevelType w:val="hybridMultilevel"/>
    <w:tmpl w:val="891C6D44"/>
    <w:lvl w:ilvl="0" w:tplc="181E9CEC">
      <w:start w:val="15"/>
      <w:numFmt w:val="decimal"/>
      <w:lvlText w:val="%1."/>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F32ED2"/>
    <w:multiLevelType w:val="hybridMultilevel"/>
    <w:tmpl w:val="4828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E673C"/>
    <w:multiLevelType w:val="hybridMultilevel"/>
    <w:tmpl w:val="D276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405896"/>
    <w:multiLevelType w:val="hybridMultilevel"/>
    <w:tmpl w:val="57CA6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7F1395"/>
    <w:multiLevelType w:val="multilevel"/>
    <w:tmpl w:val="02EEC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7431D"/>
    <w:multiLevelType w:val="multilevel"/>
    <w:tmpl w:val="04E2A7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A67F9A"/>
    <w:multiLevelType w:val="hybridMultilevel"/>
    <w:tmpl w:val="9B64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DA3A5D"/>
    <w:multiLevelType w:val="multilevel"/>
    <w:tmpl w:val="9CFC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C0B09BF"/>
    <w:multiLevelType w:val="multilevel"/>
    <w:tmpl w:val="448862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9"/>
  </w:num>
  <w:num w:numId="5">
    <w:abstractNumId w:val="8"/>
  </w:num>
  <w:num w:numId="6">
    <w:abstractNumId w:val="22"/>
  </w:num>
  <w:num w:numId="7">
    <w:abstractNumId w:val="21"/>
  </w:num>
  <w:num w:numId="8">
    <w:abstractNumId w:val="16"/>
  </w:num>
  <w:num w:numId="9">
    <w:abstractNumId w:val="1"/>
  </w:num>
  <w:num w:numId="10">
    <w:abstractNumId w:val="26"/>
  </w:num>
  <w:num w:numId="11">
    <w:abstractNumId w:val="10"/>
  </w:num>
  <w:num w:numId="12">
    <w:abstractNumId w:val="28"/>
  </w:num>
  <w:num w:numId="13">
    <w:abstractNumId w:val="5"/>
  </w:num>
  <w:num w:numId="14">
    <w:abstractNumId w:val="25"/>
  </w:num>
  <w:num w:numId="15">
    <w:abstractNumId w:val="4"/>
  </w:num>
  <w:num w:numId="16">
    <w:abstractNumId w:val="13"/>
  </w:num>
  <w:num w:numId="17">
    <w:abstractNumId w:val="12"/>
  </w:num>
  <w:num w:numId="18">
    <w:abstractNumId w:val="23"/>
  </w:num>
  <w:num w:numId="19">
    <w:abstractNumId w:val="15"/>
  </w:num>
  <w:num w:numId="20">
    <w:abstractNumId w:val="6"/>
  </w:num>
  <w:num w:numId="21">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27"/>
  </w:num>
  <w:num w:numId="26">
    <w:abstractNumId w:val="19"/>
  </w:num>
  <w:num w:numId="27">
    <w:abstractNumId w:val="7"/>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7522"/>
    <o:shapelayout v:ext="edit">
      <o:idmap v:ext="edit" data="2"/>
    </o:shapelayout>
  </w:hdrShapeDefaults>
  <w:footnotePr>
    <w:footnote w:id="-1"/>
    <w:footnote w:id="0"/>
  </w:footnotePr>
  <w:endnotePr>
    <w:endnote w:id="-1"/>
    <w:endnote w:id="0"/>
  </w:endnotePr>
  <w:compat/>
  <w:rsids>
    <w:rsidRoot w:val="00797970"/>
    <w:rsid w:val="0002603F"/>
    <w:rsid w:val="000270AA"/>
    <w:rsid w:val="00076703"/>
    <w:rsid w:val="000A4F32"/>
    <w:rsid w:val="000B47F1"/>
    <w:rsid w:val="000B48B2"/>
    <w:rsid w:val="000B680E"/>
    <w:rsid w:val="000C1B77"/>
    <w:rsid w:val="000C5268"/>
    <w:rsid w:val="000D7BD0"/>
    <w:rsid w:val="000E2493"/>
    <w:rsid w:val="000E28D4"/>
    <w:rsid w:val="0010004A"/>
    <w:rsid w:val="0010209E"/>
    <w:rsid w:val="001054E6"/>
    <w:rsid w:val="001110C1"/>
    <w:rsid w:val="00115F1F"/>
    <w:rsid w:val="001208D2"/>
    <w:rsid w:val="00137328"/>
    <w:rsid w:val="00137EC4"/>
    <w:rsid w:val="001509D2"/>
    <w:rsid w:val="001573F2"/>
    <w:rsid w:val="00161A0A"/>
    <w:rsid w:val="00180844"/>
    <w:rsid w:val="00187001"/>
    <w:rsid w:val="001964D2"/>
    <w:rsid w:val="001B11AC"/>
    <w:rsid w:val="001B7AF4"/>
    <w:rsid w:val="001C6B00"/>
    <w:rsid w:val="001D10FB"/>
    <w:rsid w:val="001D7C36"/>
    <w:rsid w:val="001E4534"/>
    <w:rsid w:val="001E6B3E"/>
    <w:rsid w:val="001F18F3"/>
    <w:rsid w:val="001F2054"/>
    <w:rsid w:val="001F2162"/>
    <w:rsid w:val="001F4C3B"/>
    <w:rsid w:val="001F5F69"/>
    <w:rsid w:val="001F7B16"/>
    <w:rsid w:val="002120AD"/>
    <w:rsid w:val="0022293C"/>
    <w:rsid w:val="00224D29"/>
    <w:rsid w:val="00234A4F"/>
    <w:rsid w:val="00236AA8"/>
    <w:rsid w:val="00236F78"/>
    <w:rsid w:val="00241C71"/>
    <w:rsid w:val="00242892"/>
    <w:rsid w:val="002534DE"/>
    <w:rsid w:val="00256849"/>
    <w:rsid w:val="00266802"/>
    <w:rsid w:val="00266FF8"/>
    <w:rsid w:val="00271E06"/>
    <w:rsid w:val="00277079"/>
    <w:rsid w:val="0028718C"/>
    <w:rsid w:val="00296020"/>
    <w:rsid w:val="002A375D"/>
    <w:rsid w:val="002B26A3"/>
    <w:rsid w:val="002B3863"/>
    <w:rsid w:val="002B4455"/>
    <w:rsid w:val="002C20DF"/>
    <w:rsid w:val="002C237B"/>
    <w:rsid w:val="002C5CA6"/>
    <w:rsid w:val="002D6585"/>
    <w:rsid w:val="002E2DF5"/>
    <w:rsid w:val="002F1590"/>
    <w:rsid w:val="00303758"/>
    <w:rsid w:val="0031671F"/>
    <w:rsid w:val="00322879"/>
    <w:rsid w:val="00322F22"/>
    <w:rsid w:val="00323F6B"/>
    <w:rsid w:val="00325FE1"/>
    <w:rsid w:val="00341395"/>
    <w:rsid w:val="003476BB"/>
    <w:rsid w:val="00352A2D"/>
    <w:rsid w:val="003547ED"/>
    <w:rsid w:val="0035718B"/>
    <w:rsid w:val="00360F69"/>
    <w:rsid w:val="0036681E"/>
    <w:rsid w:val="003675C7"/>
    <w:rsid w:val="003747D3"/>
    <w:rsid w:val="00375056"/>
    <w:rsid w:val="00381B36"/>
    <w:rsid w:val="003850BF"/>
    <w:rsid w:val="00387EE7"/>
    <w:rsid w:val="003A33F5"/>
    <w:rsid w:val="003A5A13"/>
    <w:rsid w:val="003B1F21"/>
    <w:rsid w:val="003C644F"/>
    <w:rsid w:val="003D3CFF"/>
    <w:rsid w:val="003D7DF1"/>
    <w:rsid w:val="003E2486"/>
    <w:rsid w:val="003E33F4"/>
    <w:rsid w:val="004116E7"/>
    <w:rsid w:val="0042062F"/>
    <w:rsid w:val="004206CB"/>
    <w:rsid w:val="0042398E"/>
    <w:rsid w:val="004251FC"/>
    <w:rsid w:val="0042626C"/>
    <w:rsid w:val="004322D7"/>
    <w:rsid w:val="00435985"/>
    <w:rsid w:val="00462A50"/>
    <w:rsid w:val="004638CC"/>
    <w:rsid w:val="004668E4"/>
    <w:rsid w:val="00471029"/>
    <w:rsid w:val="00471FB1"/>
    <w:rsid w:val="0047228C"/>
    <w:rsid w:val="00473B5A"/>
    <w:rsid w:val="00475125"/>
    <w:rsid w:val="00480EAA"/>
    <w:rsid w:val="00481C4C"/>
    <w:rsid w:val="00483432"/>
    <w:rsid w:val="00485841"/>
    <w:rsid w:val="004919A9"/>
    <w:rsid w:val="0049205F"/>
    <w:rsid w:val="00492B8B"/>
    <w:rsid w:val="00492E9C"/>
    <w:rsid w:val="0049383E"/>
    <w:rsid w:val="00494BE9"/>
    <w:rsid w:val="004A69DC"/>
    <w:rsid w:val="004B0A64"/>
    <w:rsid w:val="004B2159"/>
    <w:rsid w:val="004B2AC5"/>
    <w:rsid w:val="004B6062"/>
    <w:rsid w:val="004C14CB"/>
    <w:rsid w:val="004C6414"/>
    <w:rsid w:val="004C73A2"/>
    <w:rsid w:val="004F48F9"/>
    <w:rsid w:val="004F4BF8"/>
    <w:rsid w:val="005009A8"/>
    <w:rsid w:val="00500C51"/>
    <w:rsid w:val="005107FC"/>
    <w:rsid w:val="00533EB2"/>
    <w:rsid w:val="00536031"/>
    <w:rsid w:val="00542DC8"/>
    <w:rsid w:val="0054621D"/>
    <w:rsid w:val="00547A28"/>
    <w:rsid w:val="005628C4"/>
    <w:rsid w:val="005712CF"/>
    <w:rsid w:val="00583FBB"/>
    <w:rsid w:val="005B4236"/>
    <w:rsid w:val="005C00E2"/>
    <w:rsid w:val="005C5988"/>
    <w:rsid w:val="005D0BD8"/>
    <w:rsid w:val="005D36AC"/>
    <w:rsid w:val="005E2EFD"/>
    <w:rsid w:val="005E4B4D"/>
    <w:rsid w:val="005F0DCA"/>
    <w:rsid w:val="006049F2"/>
    <w:rsid w:val="00614ACB"/>
    <w:rsid w:val="006227B6"/>
    <w:rsid w:val="00631DDC"/>
    <w:rsid w:val="00632FE1"/>
    <w:rsid w:val="00640233"/>
    <w:rsid w:val="00643097"/>
    <w:rsid w:val="00650EE3"/>
    <w:rsid w:val="006573A5"/>
    <w:rsid w:val="00661706"/>
    <w:rsid w:val="00666D4E"/>
    <w:rsid w:val="0066796D"/>
    <w:rsid w:val="006736B9"/>
    <w:rsid w:val="00684B19"/>
    <w:rsid w:val="006933D9"/>
    <w:rsid w:val="0069389B"/>
    <w:rsid w:val="00697931"/>
    <w:rsid w:val="006A0664"/>
    <w:rsid w:val="006A3530"/>
    <w:rsid w:val="006A4F07"/>
    <w:rsid w:val="006B18F8"/>
    <w:rsid w:val="006B654B"/>
    <w:rsid w:val="006D0D83"/>
    <w:rsid w:val="006D6950"/>
    <w:rsid w:val="006F11E5"/>
    <w:rsid w:val="006F2BAA"/>
    <w:rsid w:val="006F5278"/>
    <w:rsid w:val="0070468E"/>
    <w:rsid w:val="0070473E"/>
    <w:rsid w:val="00715746"/>
    <w:rsid w:val="00736D17"/>
    <w:rsid w:val="007417C4"/>
    <w:rsid w:val="007520CB"/>
    <w:rsid w:val="00762AF2"/>
    <w:rsid w:val="00774188"/>
    <w:rsid w:val="007817E5"/>
    <w:rsid w:val="00783244"/>
    <w:rsid w:val="00797970"/>
    <w:rsid w:val="007A30F7"/>
    <w:rsid w:val="007C1E3F"/>
    <w:rsid w:val="007D70EF"/>
    <w:rsid w:val="007E1FFC"/>
    <w:rsid w:val="007E4560"/>
    <w:rsid w:val="007E5506"/>
    <w:rsid w:val="007F040C"/>
    <w:rsid w:val="008009DF"/>
    <w:rsid w:val="00840AC7"/>
    <w:rsid w:val="008417D3"/>
    <w:rsid w:val="00843BE7"/>
    <w:rsid w:val="00843BEE"/>
    <w:rsid w:val="00856F38"/>
    <w:rsid w:val="00886E61"/>
    <w:rsid w:val="008A312C"/>
    <w:rsid w:val="008A400D"/>
    <w:rsid w:val="008A45AE"/>
    <w:rsid w:val="008B261D"/>
    <w:rsid w:val="008D3FBE"/>
    <w:rsid w:val="008D4704"/>
    <w:rsid w:val="008E0158"/>
    <w:rsid w:val="008F6892"/>
    <w:rsid w:val="00901CAB"/>
    <w:rsid w:val="0091017B"/>
    <w:rsid w:val="00933217"/>
    <w:rsid w:val="0093427B"/>
    <w:rsid w:val="009346CF"/>
    <w:rsid w:val="009364C8"/>
    <w:rsid w:val="00940469"/>
    <w:rsid w:val="00944A42"/>
    <w:rsid w:val="009454BD"/>
    <w:rsid w:val="00945B50"/>
    <w:rsid w:val="00953ECF"/>
    <w:rsid w:val="009579EA"/>
    <w:rsid w:val="00963CAF"/>
    <w:rsid w:val="00964EB5"/>
    <w:rsid w:val="00965B89"/>
    <w:rsid w:val="00973115"/>
    <w:rsid w:val="009765E1"/>
    <w:rsid w:val="00983BD2"/>
    <w:rsid w:val="00984A35"/>
    <w:rsid w:val="00985C7C"/>
    <w:rsid w:val="009962FA"/>
    <w:rsid w:val="009977D4"/>
    <w:rsid w:val="009A0A05"/>
    <w:rsid w:val="009A1A22"/>
    <w:rsid w:val="009A2FDA"/>
    <w:rsid w:val="009A4E6F"/>
    <w:rsid w:val="009B666F"/>
    <w:rsid w:val="009B75B3"/>
    <w:rsid w:val="009C1999"/>
    <w:rsid w:val="009C5056"/>
    <w:rsid w:val="009C672C"/>
    <w:rsid w:val="009D54EB"/>
    <w:rsid w:val="009D6D2E"/>
    <w:rsid w:val="009E5E3F"/>
    <w:rsid w:val="009E7FD2"/>
    <w:rsid w:val="00A06646"/>
    <w:rsid w:val="00A11657"/>
    <w:rsid w:val="00A23AE6"/>
    <w:rsid w:val="00A31920"/>
    <w:rsid w:val="00A3594B"/>
    <w:rsid w:val="00A40FAD"/>
    <w:rsid w:val="00A811B4"/>
    <w:rsid w:val="00A857E9"/>
    <w:rsid w:val="00A859A9"/>
    <w:rsid w:val="00A87B38"/>
    <w:rsid w:val="00A9685A"/>
    <w:rsid w:val="00AA43A1"/>
    <w:rsid w:val="00AB6BCD"/>
    <w:rsid w:val="00AD0380"/>
    <w:rsid w:val="00AD2267"/>
    <w:rsid w:val="00AD38AD"/>
    <w:rsid w:val="00AF35E6"/>
    <w:rsid w:val="00B070DE"/>
    <w:rsid w:val="00B245D5"/>
    <w:rsid w:val="00B25169"/>
    <w:rsid w:val="00B25503"/>
    <w:rsid w:val="00B25A08"/>
    <w:rsid w:val="00B26036"/>
    <w:rsid w:val="00B303A1"/>
    <w:rsid w:val="00B414A1"/>
    <w:rsid w:val="00B41E97"/>
    <w:rsid w:val="00B94006"/>
    <w:rsid w:val="00B95084"/>
    <w:rsid w:val="00BA4CED"/>
    <w:rsid w:val="00BA5E38"/>
    <w:rsid w:val="00BA7684"/>
    <w:rsid w:val="00BB0103"/>
    <w:rsid w:val="00BB0F73"/>
    <w:rsid w:val="00BB2BC9"/>
    <w:rsid w:val="00BB3B6B"/>
    <w:rsid w:val="00BC3831"/>
    <w:rsid w:val="00BC4DE3"/>
    <w:rsid w:val="00BC7648"/>
    <w:rsid w:val="00BD117E"/>
    <w:rsid w:val="00BD2AC5"/>
    <w:rsid w:val="00C0571A"/>
    <w:rsid w:val="00C05D3C"/>
    <w:rsid w:val="00C07A0B"/>
    <w:rsid w:val="00C16311"/>
    <w:rsid w:val="00C20CA5"/>
    <w:rsid w:val="00C25240"/>
    <w:rsid w:val="00C423F7"/>
    <w:rsid w:val="00C470BE"/>
    <w:rsid w:val="00C47960"/>
    <w:rsid w:val="00C5447D"/>
    <w:rsid w:val="00C57FAE"/>
    <w:rsid w:val="00C61ADF"/>
    <w:rsid w:val="00C709A8"/>
    <w:rsid w:val="00C80434"/>
    <w:rsid w:val="00C82A6A"/>
    <w:rsid w:val="00C86E15"/>
    <w:rsid w:val="00C914B2"/>
    <w:rsid w:val="00CA3274"/>
    <w:rsid w:val="00CA33FF"/>
    <w:rsid w:val="00CB2F9A"/>
    <w:rsid w:val="00CB320B"/>
    <w:rsid w:val="00CC2E45"/>
    <w:rsid w:val="00CC7480"/>
    <w:rsid w:val="00CD6EE8"/>
    <w:rsid w:val="00CE0964"/>
    <w:rsid w:val="00D06ECE"/>
    <w:rsid w:val="00D20221"/>
    <w:rsid w:val="00D31AEA"/>
    <w:rsid w:val="00D4013A"/>
    <w:rsid w:val="00D67D55"/>
    <w:rsid w:val="00D723D8"/>
    <w:rsid w:val="00D75745"/>
    <w:rsid w:val="00D816F9"/>
    <w:rsid w:val="00D83830"/>
    <w:rsid w:val="00D917F6"/>
    <w:rsid w:val="00D96A20"/>
    <w:rsid w:val="00D96B02"/>
    <w:rsid w:val="00DA261B"/>
    <w:rsid w:val="00DA77EA"/>
    <w:rsid w:val="00DC405B"/>
    <w:rsid w:val="00DC48B3"/>
    <w:rsid w:val="00DC65B9"/>
    <w:rsid w:val="00DE2B74"/>
    <w:rsid w:val="00DF4D7F"/>
    <w:rsid w:val="00DF7012"/>
    <w:rsid w:val="00E00AA8"/>
    <w:rsid w:val="00E05DE2"/>
    <w:rsid w:val="00E1106C"/>
    <w:rsid w:val="00E158FA"/>
    <w:rsid w:val="00E23722"/>
    <w:rsid w:val="00E26E8D"/>
    <w:rsid w:val="00E402CF"/>
    <w:rsid w:val="00E526CF"/>
    <w:rsid w:val="00E53618"/>
    <w:rsid w:val="00E53EFA"/>
    <w:rsid w:val="00E5513B"/>
    <w:rsid w:val="00E5780B"/>
    <w:rsid w:val="00E6300E"/>
    <w:rsid w:val="00E633C2"/>
    <w:rsid w:val="00E66D6E"/>
    <w:rsid w:val="00E80652"/>
    <w:rsid w:val="00E9451A"/>
    <w:rsid w:val="00E97E4C"/>
    <w:rsid w:val="00EA2A56"/>
    <w:rsid w:val="00EA4FC3"/>
    <w:rsid w:val="00EA6EA0"/>
    <w:rsid w:val="00EA6FBA"/>
    <w:rsid w:val="00EB09BA"/>
    <w:rsid w:val="00EC7C12"/>
    <w:rsid w:val="00ED140F"/>
    <w:rsid w:val="00EE042B"/>
    <w:rsid w:val="00EF66C0"/>
    <w:rsid w:val="00EF6E28"/>
    <w:rsid w:val="00F02BFA"/>
    <w:rsid w:val="00F14847"/>
    <w:rsid w:val="00F33E97"/>
    <w:rsid w:val="00F41F3E"/>
    <w:rsid w:val="00F436A7"/>
    <w:rsid w:val="00F4489A"/>
    <w:rsid w:val="00F52618"/>
    <w:rsid w:val="00F52968"/>
    <w:rsid w:val="00F61473"/>
    <w:rsid w:val="00F64BED"/>
    <w:rsid w:val="00F70941"/>
    <w:rsid w:val="00F7291B"/>
    <w:rsid w:val="00F72EC0"/>
    <w:rsid w:val="00F935CD"/>
    <w:rsid w:val="00FA4A95"/>
    <w:rsid w:val="00FA6ED8"/>
    <w:rsid w:val="00FC7854"/>
    <w:rsid w:val="00FD12FB"/>
    <w:rsid w:val="00FD3552"/>
    <w:rsid w:val="00FD4259"/>
    <w:rsid w:val="00FD7FB9"/>
    <w:rsid w:val="00FE6F6E"/>
    <w:rsid w:val="00FF4526"/>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uiPriority w:val="99"/>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uiPriority w:val="1"/>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paragraph" w:styleId="HTML-wstpniesformatowany">
    <w:name w:val="HTML Preformatted"/>
    <w:basedOn w:val="Normalny"/>
    <w:link w:val="HTML-wstpniesformatowanyZnak"/>
    <w:uiPriority w:val="99"/>
    <w:unhideWhenUsed/>
    <w:rsid w:val="00A3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31920"/>
    <w:rPr>
      <w:rFonts w:ascii="Courier New" w:hAnsi="Courier New" w:cs="Courier New"/>
    </w:rPr>
  </w:style>
  <w:style w:type="paragraph" w:customStyle="1" w:styleId="domylny">
    <w:name w:val="domylny"/>
    <w:basedOn w:val="Normalny"/>
    <w:rsid w:val="00C82A6A"/>
    <w:pPr>
      <w:spacing w:before="100" w:beforeAutospacing="1" w:after="100" w:afterAutospacing="1"/>
    </w:pPr>
    <w:rPr>
      <w:rFonts w:eastAsia="MS Mincho"/>
      <w:lang w:eastAsia="ja-JP"/>
    </w:rPr>
  </w:style>
  <w:style w:type="table" w:customStyle="1" w:styleId="TableNormal1">
    <w:name w:val="Table Normal1"/>
    <w:uiPriority w:val="99"/>
    <w:semiHidden/>
    <w:rsid w:val="00BA5E38"/>
    <w:tblPr>
      <w:tblCellMar>
        <w:top w:w="0" w:type="dxa"/>
        <w:left w:w="108" w:type="dxa"/>
        <w:bottom w:w="0" w:type="dxa"/>
        <w:right w:w="108" w:type="dxa"/>
      </w:tblCellMar>
    </w:tblPr>
  </w:style>
  <w:style w:type="paragraph" w:customStyle="1" w:styleId="WW-Tekstpodstawowy2">
    <w:name w:val="WW-Tekst podstawowy 2"/>
    <w:basedOn w:val="Normalny"/>
    <w:rsid w:val="00BA5E38"/>
    <w:pPr>
      <w:jc w:val="both"/>
    </w:pPr>
    <w:rPr>
      <w:rFonts w:eastAsiaTheme="minorHAnsi"/>
      <w:lang w:val="en-US" w:eastAsia="ar-SA"/>
    </w:rPr>
  </w:style>
  <w:style w:type="character" w:customStyle="1" w:styleId="AkapitzlistZnak">
    <w:name w:val="Akapit z listą Znak"/>
    <w:aliases w:val="sw tekst Znak"/>
    <w:link w:val="Akapitzlist"/>
    <w:uiPriority w:val="34"/>
    <w:locked/>
    <w:rsid w:val="00840AC7"/>
    <w:rPr>
      <w:rFonts w:ascii="Calibri" w:hAnsi="Calibri"/>
      <w:sz w:val="22"/>
      <w:szCs w:val="22"/>
    </w:rPr>
  </w:style>
  <w:style w:type="character" w:customStyle="1" w:styleId="normaltextrun">
    <w:name w:val="normaltextrun"/>
    <w:basedOn w:val="Domylnaczcionkaakapitu"/>
    <w:rsid w:val="00964EB5"/>
  </w:style>
  <w:style w:type="character" w:customStyle="1" w:styleId="eop">
    <w:name w:val="eop"/>
    <w:basedOn w:val="Domylnaczcionkaakapitu"/>
    <w:rsid w:val="00964EB5"/>
  </w:style>
  <w:style w:type="character" w:customStyle="1" w:styleId="spellingerror">
    <w:name w:val="spellingerror"/>
    <w:basedOn w:val="Domylnaczcionkaakapitu"/>
    <w:rsid w:val="00964EB5"/>
  </w:style>
</w:styles>
</file>

<file path=word/webSettings.xml><?xml version="1.0" encoding="utf-8"?>
<w:webSettings xmlns:r="http://schemas.openxmlformats.org/officeDocument/2006/relationships" xmlns:w="http://schemas.openxmlformats.org/wordprocessingml/2006/main">
  <w:divs>
    <w:div w:id="202599750">
      <w:bodyDiv w:val="1"/>
      <w:marLeft w:val="0"/>
      <w:marRight w:val="0"/>
      <w:marTop w:val="0"/>
      <w:marBottom w:val="0"/>
      <w:divBdr>
        <w:top w:val="none" w:sz="0" w:space="0" w:color="auto"/>
        <w:left w:val="none" w:sz="0" w:space="0" w:color="auto"/>
        <w:bottom w:val="none" w:sz="0" w:space="0" w:color="auto"/>
        <w:right w:val="none" w:sz="0" w:space="0" w:color="auto"/>
      </w:divBdr>
    </w:div>
    <w:div w:id="258754478">
      <w:bodyDiv w:val="1"/>
      <w:marLeft w:val="0"/>
      <w:marRight w:val="0"/>
      <w:marTop w:val="0"/>
      <w:marBottom w:val="0"/>
      <w:divBdr>
        <w:top w:val="none" w:sz="0" w:space="0" w:color="auto"/>
        <w:left w:val="none" w:sz="0" w:space="0" w:color="auto"/>
        <w:bottom w:val="none" w:sz="0" w:space="0" w:color="auto"/>
        <w:right w:val="none" w:sz="0" w:space="0" w:color="auto"/>
      </w:divBdr>
    </w:div>
    <w:div w:id="353310706">
      <w:bodyDiv w:val="1"/>
      <w:marLeft w:val="0"/>
      <w:marRight w:val="0"/>
      <w:marTop w:val="0"/>
      <w:marBottom w:val="0"/>
      <w:divBdr>
        <w:top w:val="none" w:sz="0" w:space="0" w:color="auto"/>
        <w:left w:val="none" w:sz="0" w:space="0" w:color="auto"/>
        <w:bottom w:val="none" w:sz="0" w:space="0" w:color="auto"/>
        <w:right w:val="none" w:sz="0" w:space="0" w:color="auto"/>
      </w:divBdr>
    </w:div>
    <w:div w:id="1000356559">
      <w:bodyDiv w:val="1"/>
      <w:marLeft w:val="0"/>
      <w:marRight w:val="0"/>
      <w:marTop w:val="0"/>
      <w:marBottom w:val="0"/>
      <w:divBdr>
        <w:top w:val="none" w:sz="0" w:space="0" w:color="auto"/>
        <w:left w:val="none" w:sz="0" w:space="0" w:color="auto"/>
        <w:bottom w:val="none" w:sz="0" w:space="0" w:color="auto"/>
        <w:right w:val="none" w:sz="0" w:space="0" w:color="auto"/>
      </w:divBdr>
    </w:div>
    <w:div w:id="1417291014">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97347793">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A92B-E994-4778-8D11-BDC1A91D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3499</Words>
  <Characters>20996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82</cp:revision>
  <cp:lastPrinted>2019-11-21T08:25:00Z</cp:lastPrinted>
  <dcterms:created xsi:type="dcterms:W3CDTF">2017-09-15T09:55:00Z</dcterms:created>
  <dcterms:modified xsi:type="dcterms:W3CDTF">2019-11-21T08:26:00Z</dcterms:modified>
</cp:coreProperties>
</file>