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B" w:rsidRDefault="0042011B" w:rsidP="0042011B">
      <w:pPr>
        <w:ind w:left="5664"/>
        <w:rPr>
          <w:b/>
          <w:sz w:val="22"/>
          <w:szCs w:val="22"/>
        </w:rPr>
      </w:pPr>
    </w:p>
    <w:p w:rsidR="0042011B" w:rsidRDefault="0042011B" w:rsidP="0042011B">
      <w:pPr>
        <w:ind w:left="5664"/>
        <w:rPr>
          <w:b/>
          <w:sz w:val="22"/>
          <w:szCs w:val="22"/>
        </w:rPr>
      </w:pPr>
    </w:p>
    <w:p w:rsidR="009C1290" w:rsidRDefault="009C1290" w:rsidP="0042011B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9C1290" w:rsidRDefault="009C1290" w:rsidP="0038030B">
      <w:pPr>
        <w:ind w:left="6372"/>
        <w:rPr>
          <w:b/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38030B">
        <w:rPr>
          <w:sz w:val="22"/>
          <w:szCs w:val="22"/>
        </w:rPr>
        <w:t>24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38030B">
        <w:rPr>
          <w:noProof/>
          <w:sz w:val="22"/>
          <w:szCs w:val="22"/>
        </w:rPr>
        <w:t xml:space="preserve"> 22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C52642">
        <w:rPr>
          <w:b/>
          <w:noProof/>
          <w:sz w:val="22"/>
          <w:szCs w:val="22"/>
        </w:rPr>
        <w:t>Zapytanie nr 15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9F011B" w:rsidRDefault="009F638E" w:rsidP="005574A4">
      <w:pPr>
        <w:jc w:val="both"/>
        <w:rPr>
          <w:b/>
          <w:sz w:val="22"/>
          <w:szCs w:val="22"/>
        </w:rPr>
      </w:pPr>
      <w:r w:rsidRPr="009F011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9F011B">
        <w:rPr>
          <w:sz w:val="22"/>
          <w:szCs w:val="22"/>
        </w:rPr>
        <w:t>ybie przetargu nieograniczonego</w:t>
      </w:r>
      <w:r w:rsidR="00BF1D32" w:rsidRPr="009F011B">
        <w:rPr>
          <w:sz w:val="22"/>
          <w:szCs w:val="22"/>
        </w:rPr>
        <w:t xml:space="preserve"> na </w:t>
      </w:r>
      <w:r w:rsidR="00BF1D32" w:rsidRPr="009F011B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9F011B">
        <w:rPr>
          <w:sz w:val="22"/>
          <w:szCs w:val="22"/>
        </w:rPr>
        <w:t xml:space="preserve">Szpital Specjalistyczny </w:t>
      </w:r>
      <w:r w:rsidRPr="009F011B">
        <w:rPr>
          <w:sz w:val="22"/>
          <w:szCs w:val="22"/>
        </w:rPr>
        <w:t>im. Jędrzeja Śniadeckiego w Nowym Sączu jako Zamawiający informuje, że:</w:t>
      </w:r>
    </w:p>
    <w:p w:rsidR="00F94CC5" w:rsidRPr="009F011B" w:rsidRDefault="00F94CC5" w:rsidP="005574A4">
      <w:pPr>
        <w:jc w:val="both"/>
        <w:rPr>
          <w:b/>
          <w:sz w:val="22"/>
          <w:szCs w:val="22"/>
        </w:rPr>
      </w:pPr>
    </w:p>
    <w:p w:rsidR="00FC297B" w:rsidRPr="009F011B" w:rsidRDefault="002D131C" w:rsidP="007A49A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F011B">
        <w:rPr>
          <w:b/>
          <w:noProof/>
          <w:sz w:val="22"/>
          <w:szCs w:val="22"/>
        </w:rPr>
        <w:t xml:space="preserve">Pytanie </w:t>
      </w:r>
      <w:r w:rsidR="00412E22" w:rsidRPr="009F011B">
        <w:rPr>
          <w:b/>
          <w:noProof/>
          <w:sz w:val="22"/>
          <w:szCs w:val="22"/>
        </w:rPr>
        <w:t>1</w:t>
      </w:r>
      <w:r w:rsidRPr="009F011B">
        <w:rPr>
          <w:b/>
          <w:noProof/>
          <w:sz w:val="22"/>
          <w:szCs w:val="22"/>
        </w:rPr>
        <w:t xml:space="preserve"> d</w:t>
      </w:r>
      <w:r w:rsidR="009F638E" w:rsidRPr="009F011B">
        <w:rPr>
          <w:b/>
          <w:noProof/>
          <w:sz w:val="22"/>
          <w:szCs w:val="22"/>
        </w:rPr>
        <w:t>otyczy</w:t>
      </w:r>
      <w:r w:rsidR="007A49AB" w:rsidRPr="009F011B">
        <w:rPr>
          <w:b/>
          <w:noProof/>
          <w:sz w:val="22"/>
          <w:szCs w:val="22"/>
        </w:rPr>
        <w:t>:</w:t>
      </w:r>
    </w:p>
    <w:p w:rsidR="0038030B" w:rsidRPr="0038030B" w:rsidRDefault="0038030B" w:rsidP="0038030B">
      <w:pPr>
        <w:tabs>
          <w:tab w:val="left" w:pos="1331"/>
        </w:tabs>
        <w:jc w:val="both"/>
        <w:rPr>
          <w:sz w:val="22"/>
          <w:szCs w:val="22"/>
        </w:rPr>
      </w:pPr>
      <w:r w:rsidRPr="0038030B">
        <w:rPr>
          <w:sz w:val="22"/>
          <w:szCs w:val="22"/>
        </w:rPr>
        <w:t>Zadania nr 2 – dostawa pomp objętościowych</w:t>
      </w:r>
      <w:r w:rsidRPr="0038030B">
        <w:rPr>
          <w:sz w:val="22"/>
          <w:szCs w:val="22"/>
        </w:rPr>
        <w:tab/>
      </w:r>
      <w:r w:rsidRPr="0038030B">
        <w:rPr>
          <w:sz w:val="22"/>
          <w:szCs w:val="22"/>
        </w:rPr>
        <w:tab/>
      </w:r>
      <w:r w:rsidRPr="0038030B">
        <w:rPr>
          <w:sz w:val="22"/>
          <w:szCs w:val="22"/>
        </w:rPr>
        <w:tab/>
      </w:r>
      <w:r w:rsidRPr="0038030B">
        <w:rPr>
          <w:sz w:val="22"/>
          <w:szCs w:val="22"/>
        </w:rPr>
        <w:tab/>
      </w:r>
    </w:p>
    <w:p w:rsidR="00A478FE" w:rsidRDefault="0038030B" w:rsidP="0038030B">
      <w:pPr>
        <w:tabs>
          <w:tab w:val="left" w:pos="1331"/>
        </w:tabs>
        <w:jc w:val="both"/>
        <w:rPr>
          <w:sz w:val="22"/>
          <w:szCs w:val="22"/>
        </w:rPr>
      </w:pPr>
      <w:r w:rsidRPr="0038030B">
        <w:rPr>
          <w:sz w:val="22"/>
          <w:szCs w:val="22"/>
        </w:rPr>
        <w:t>Prosimy Zamawiającego o dopuszczenie pomp objętościowych o następujących parametrach technicznych:</w:t>
      </w:r>
    </w:p>
    <w:tbl>
      <w:tblPr>
        <w:tblW w:w="9320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/>
      </w:tblPr>
      <w:tblGrid>
        <w:gridCol w:w="709"/>
        <w:gridCol w:w="5387"/>
        <w:gridCol w:w="1559"/>
        <w:gridCol w:w="1665"/>
      </w:tblGrid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pStyle w:val="Zawartotabeli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554F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554F">
              <w:rPr>
                <w:rFonts w:ascii="Calibri" w:hAnsi="Calibri" w:cs="Calibri"/>
                <w:b/>
                <w:bCs/>
                <w:sz w:val="22"/>
                <w:szCs w:val="22"/>
              </w:rPr>
              <w:t>Opis  - minimalne parametry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554F">
              <w:rPr>
                <w:rFonts w:ascii="Calibri" w:hAnsi="Calibri" w:cs="Calibri"/>
                <w:b/>
                <w:sz w:val="22"/>
                <w:szCs w:val="22"/>
              </w:rPr>
              <w:t>Wartość wymagana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554F">
              <w:rPr>
                <w:rFonts w:ascii="Calibri" w:hAnsi="Calibri" w:cs="Calibri"/>
                <w:b/>
                <w:sz w:val="22"/>
                <w:szCs w:val="22"/>
              </w:rPr>
              <w:t>Parametr oferowany</w:t>
            </w:r>
          </w:p>
          <w:p w:rsidR="0038030B" w:rsidRPr="0083554F" w:rsidRDefault="0038030B" w:rsidP="0088386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3554F">
              <w:rPr>
                <w:rFonts w:ascii="Calibri" w:hAnsi="Calibri" w:cs="Calibri"/>
                <w:b/>
                <w:sz w:val="22"/>
                <w:szCs w:val="22"/>
              </w:rPr>
              <w:t>(podać zakres lub opisać)</w:t>
            </w:r>
          </w:p>
        </w:tc>
      </w:tr>
      <w:tr w:rsidR="0038030B" w:rsidRPr="008C0352" w:rsidTr="0088386C">
        <w:trPr>
          <w:cantSplit/>
          <w:trHeight w:val="5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Urządzenie nowe i nieużywane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5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Pompa objętościowa sterowana elektronicznie przeznaczona do stosowania u dorosłych, dzieci i noworodków do tymczasowego lub ciągłego podawania roztworów pozajelitowych </w:t>
            </w:r>
          </w:p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za pośrednictwem standardowych medycznych</w:t>
            </w:r>
          </w:p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dróg dostępu. Do tych dróg należą m.in.: droga dożylna, dotętnicza, podskórna, zewnątrzoponowa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5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Zasilanie 230V 50 Hz, bezpośrednio z sieci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523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Pompa objętościowa sterowana elektronicznie 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Masa pompy gotowej do użycia poniżej 2,6 kg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502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Stopień ochrony IP23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Kolorowy wyświetlacz czytelny pod kątem 80 stopni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69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Uchwyt do mocowania pompy do stojaków infuzyjnych, oraz szyn poziomych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70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Możliwość łączenia pomp w moduły bez użycia stacji dokującej - 2 pompy na jednym uchwycie.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Linia infuzyjna mocowana od przodu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Pełne programowanie pompy za pomocą fizycznej klawiatury nawigacyjnej (symbolicznej)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Menu pompy w języku polskim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Zatrzaskowe mocowanie i współpraca ze stacją dokującą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Komunikacja pomiędzy pompą a stacją dokującą za pośrednictwem RS232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Zakres prędkości infuzji min. 0,1 do 2000 ml/h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Automatyczna kalkulacja prędkości podaży po wprowadzeniu objętości i czasu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pStyle w:val="Tekstpodstawowy31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Możliwość programowania parametrów infuzji min. w jednostkach: </w:t>
            </w:r>
            <w:r w:rsidRPr="0083554F">
              <w:rPr>
                <w:rFonts w:ascii="Calibri" w:hAnsi="Calibri" w:cs="Calibri"/>
                <w:color w:val="000000"/>
                <w:sz w:val="22"/>
                <w:szCs w:val="22"/>
              </w:rPr>
              <w:t>ng/kg/min, ng/kg/h,µg/kg/h, µg/kg/min, µg/kg/24h mg/kg/min,mg/kg/24h,g/kg/min,g/kg/h,mU/kg/min,mU/kg/h,U/kg/min, U/kg/h,U/kg/24h,kU/kg/h, EU/kg/h, mmol/kg/h, mol/kg/h, kcal/kg/h, mEg/kg/min, mEq/kg/h.</w:t>
            </w:r>
          </w:p>
          <w:p w:rsidR="0038030B" w:rsidRPr="0083554F" w:rsidRDefault="0038030B" w:rsidP="0088386C">
            <w:pPr>
              <w:pStyle w:val="Tekstpodstawowy3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Zmiana prędkości podaży bez przerywania infuzji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System automatycznej redukcji bolusa po alarmie ciśnienia okluzji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Wstępnie wybierana objętość w zakresie 0,10 - 9999 ml programowana, co 0,01 ml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Tak,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Wstępnie wybierany czas w zakresie 00h01min - 99h59min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Prędkość bolusa 1-2000 ml/h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Tak, 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Bolus na żądanie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Bolus programowany z automatyczną kalkulacją prędkości po wprowadzeniu objętości i czasu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Możliwość podaży bolusa w ml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Tryb stand-by w zakresie od 1 min do 24 godzin z programowaniem, co 1 minutę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Tryb nocny z redukcją intensywności podświetlenia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Tryb nocny z możliwość włączenia ręcznego lub zaprogramowania automatycznego przełączania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Możliwość wprowadzenia do pompy biblioteki leków bezpośrednio z komputera,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Biblioteka zawiera min. 40 leków, z możliwością wprowadzenia do 2000 pozycji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Ciśnienie okluzji możliwe do ustawienia na min. 12 poziomach w zakresie od 75  mmHg do 975 mmHg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Wskaźnik ciśnienia okluzji stale widoczny na wyświetlaczu pompy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Wbudowany akumulator litowo - jonowy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Zasilanie z wbudowanego akumulatora 9 godz. przy przepływie 25 ml/h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Czas ponownego ładowania max. 6 godz.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Na wyświetlaczu widoczna informacja o pozostałym czasie pracy akumulatora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Pobór mocy &lt; 60 W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Automatyczne ładowanie akumulatora w pompie podłączonej do zasilania sieciowego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Historia pracy dostępna z menu pompy, z możliwością zapisania do 2000 zdarzeń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Stojak jezdny, model, nazwa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Stabilna, pięcioramienna podstawa</w:t>
            </w:r>
          </w:p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pokryta lakierem proszkowym,</w:t>
            </w:r>
          </w:p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przejezdna na kółkach.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54F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Min. 2 kółka z hamulcem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Średnica podstawy: 600 mm (± 50 mm).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Wysuwany wieszak na płyny infuzyjne –</w:t>
            </w:r>
          </w:p>
          <w:p w:rsidR="0038030B" w:rsidRPr="0083554F" w:rsidRDefault="0038030B" w:rsidP="00883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chromowany.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Min. 2 wieszaki na płyny infuzyjne.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Wysokość regulowana od 1600 do 2020</w:t>
            </w:r>
          </w:p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mm (± 50 mm).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Nośność stojaka 25 kg </w:t>
            </w:r>
            <w:r w:rsidRPr="0083554F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(± 0,5 kg)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30B" w:rsidRPr="008C0352" w:rsidTr="0088386C">
        <w:trPr>
          <w:cantSplit/>
          <w:trHeight w:val="454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38030B">
            <w:pPr>
              <w:pStyle w:val="Zawartotabeli"/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 xml:space="preserve">Pakiet startowy do pomp objętościowych. Skład pakietu:5 x dren standard po podaży płynów infuzyjnych, 5x dren bursztynowy do leków światłoczułych 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8030B" w:rsidRPr="0083554F" w:rsidRDefault="0038030B" w:rsidP="0088386C">
            <w:pPr>
              <w:rPr>
                <w:rFonts w:ascii="Calibri" w:hAnsi="Calibri" w:cs="Calibri"/>
                <w:sz w:val="22"/>
                <w:szCs w:val="22"/>
              </w:rPr>
            </w:pPr>
            <w:r w:rsidRPr="0083554F">
              <w:rPr>
                <w:rFonts w:ascii="Calibri" w:hAnsi="Calibri" w:cs="Calibri"/>
                <w:sz w:val="22"/>
                <w:szCs w:val="22"/>
              </w:rPr>
              <w:t>Tak, podać</w:t>
            </w:r>
          </w:p>
        </w:tc>
        <w:tc>
          <w:tcPr>
            <w:tcW w:w="1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8030B" w:rsidRPr="0083554F" w:rsidRDefault="0038030B" w:rsidP="0088386C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38030B" w:rsidRDefault="0038030B" w:rsidP="0038030B">
      <w:pPr>
        <w:tabs>
          <w:tab w:val="left" w:pos="1331"/>
        </w:tabs>
        <w:jc w:val="both"/>
        <w:rPr>
          <w:b/>
          <w:sz w:val="22"/>
          <w:szCs w:val="22"/>
        </w:rPr>
      </w:pPr>
      <w:r w:rsidRPr="0038030B">
        <w:rPr>
          <w:b/>
          <w:sz w:val="22"/>
          <w:szCs w:val="22"/>
        </w:rPr>
        <w:t>Odpowiedz:</w:t>
      </w:r>
    </w:p>
    <w:p w:rsidR="0038030B" w:rsidRPr="0038030B" w:rsidRDefault="0038030B" w:rsidP="0038030B">
      <w:pPr>
        <w:tabs>
          <w:tab w:val="left" w:pos="13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sectPr w:rsidR="0038030B" w:rsidRPr="0038030B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14D" w:rsidRDefault="0006214D">
      <w:r>
        <w:separator/>
      </w:r>
    </w:p>
  </w:endnote>
  <w:endnote w:type="continuationSeparator" w:id="1">
    <w:p w:rsidR="0006214D" w:rsidRDefault="0006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94960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14D" w:rsidRDefault="0006214D">
      <w:r>
        <w:separator/>
      </w:r>
    </w:p>
  </w:footnote>
  <w:footnote w:type="continuationSeparator" w:id="1">
    <w:p w:rsidR="0006214D" w:rsidRDefault="00062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4960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B94960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A2C5B"/>
    <w:multiLevelType w:val="hybridMultilevel"/>
    <w:tmpl w:val="D26AD5BE"/>
    <w:lvl w:ilvl="0" w:tplc="045EF1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4"/>
  </w:num>
  <w:num w:numId="6">
    <w:abstractNumId w:val="24"/>
  </w:num>
  <w:num w:numId="7">
    <w:abstractNumId w:val="21"/>
  </w:num>
  <w:num w:numId="8">
    <w:abstractNumId w:val="12"/>
  </w:num>
  <w:num w:numId="9">
    <w:abstractNumId w:val="17"/>
  </w:num>
  <w:num w:numId="10">
    <w:abstractNumId w:val="9"/>
  </w:num>
  <w:num w:numId="11">
    <w:abstractNumId w:val="27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22"/>
  </w:num>
  <w:num w:numId="22">
    <w:abstractNumId w:val="28"/>
  </w:num>
  <w:num w:numId="23">
    <w:abstractNumId w:val="7"/>
  </w:num>
  <w:num w:numId="24">
    <w:abstractNumId w:val="1"/>
  </w:num>
  <w:num w:numId="25">
    <w:abstractNumId w:val="19"/>
  </w:num>
  <w:num w:numId="26">
    <w:abstractNumId w:val="26"/>
  </w:num>
  <w:num w:numId="27">
    <w:abstractNumId w:val="11"/>
  </w:num>
  <w:num w:numId="28">
    <w:abstractNumId w:val="1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96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05C03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214D"/>
    <w:rsid w:val="00076AB6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0591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0ECF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0A2D"/>
    <w:rsid w:val="002E2D22"/>
    <w:rsid w:val="002F4500"/>
    <w:rsid w:val="00303758"/>
    <w:rsid w:val="00305170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030B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11B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15C40"/>
    <w:rsid w:val="005257D6"/>
    <w:rsid w:val="0053075F"/>
    <w:rsid w:val="00531CA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65E4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2C67"/>
    <w:rsid w:val="00643097"/>
    <w:rsid w:val="00646212"/>
    <w:rsid w:val="00650EE3"/>
    <w:rsid w:val="0066796D"/>
    <w:rsid w:val="006715AF"/>
    <w:rsid w:val="00671CC5"/>
    <w:rsid w:val="00687262"/>
    <w:rsid w:val="0069389B"/>
    <w:rsid w:val="00697006"/>
    <w:rsid w:val="006A342A"/>
    <w:rsid w:val="006A51FC"/>
    <w:rsid w:val="006A69EF"/>
    <w:rsid w:val="006B0058"/>
    <w:rsid w:val="006B30D2"/>
    <w:rsid w:val="006B6267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6791B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49AB"/>
    <w:rsid w:val="007C1E3F"/>
    <w:rsid w:val="007C4A36"/>
    <w:rsid w:val="007C5053"/>
    <w:rsid w:val="007C6064"/>
    <w:rsid w:val="007D0B2A"/>
    <w:rsid w:val="007D4B5E"/>
    <w:rsid w:val="007D521B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60A4"/>
    <w:rsid w:val="00856F38"/>
    <w:rsid w:val="008716A1"/>
    <w:rsid w:val="008769B3"/>
    <w:rsid w:val="00880661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40B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131"/>
    <w:rsid w:val="009B679B"/>
    <w:rsid w:val="009B7E8C"/>
    <w:rsid w:val="009C1290"/>
    <w:rsid w:val="009C2FC2"/>
    <w:rsid w:val="009D54EB"/>
    <w:rsid w:val="009D5C4D"/>
    <w:rsid w:val="009E244A"/>
    <w:rsid w:val="009E2B06"/>
    <w:rsid w:val="009E441D"/>
    <w:rsid w:val="009E5E3F"/>
    <w:rsid w:val="009E7FD2"/>
    <w:rsid w:val="009F011B"/>
    <w:rsid w:val="009F638E"/>
    <w:rsid w:val="00A0747F"/>
    <w:rsid w:val="00A07B3B"/>
    <w:rsid w:val="00A11657"/>
    <w:rsid w:val="00A2014B"/>
    <w:rsid w:val="00A22EAE"/>
    <w:rsid w:val="00A23AE6"/>
    <w:rsid w:val="00A26B0A"/>
    <w:rsid w:val="00A40D25"/>
    <w:rsid w:val="00A478FE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12BD"/>
    <w:rsid w:val="00AF5F58"/>
    <w:rsid w:val="00B0474E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865A6"/>
    <w:rsid w:val="00B94960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703F"/>
    <w:rsid w:val="00C44335"/>
    <w:rsid w:val="00C44579"/>
    <w:rsid w:val="00C47960"/>
    <w:rsid w:val="00C51220"/>
    <w:rsid w:val="00C52642"/>
    <w:rsid w:val="00C54D1C"/>
    <w:rsid w:val="00C555BE"/>
    <w:rsid w:val="00C57FAE"/>
    <w:rsid w:val="00C6121A"/>
    <w:rsid w:val="00C620D3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C20A3"/>
    <w:rsid w:val="00CC5DFA"/>
    <w:rsid w:val="00CD0C11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3EB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6F4F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06AC7"/>
    <w:rsid w:val="00F11142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38030B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Zawartotabeli">
    <w:name w:val="Zawartość tabeli"/>
    <w:basedOn w:val="Normalny"/>
    <w:rsid w:val="0038030B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54</cp:revision>
  <cp:lastPrinted>2020-12-22T07:05:00Z</cp:lastPrinted>
  <dcterms:created xsi:type="dcterms:W3CDTF">2020-09-28T06:21:00Z</dcterms:created>
  <dcterms:modified xsi:type="dcterms:W3CDTF">2020-12-22T11:25:00Z</dcterms:modified>
</cp:coreProperties>
</file>