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72" w:tblpY="51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4507"/>
        <w:gridCol w:w="1987"/>
        <w:gridCol w:w="2430"/>
      </w:tblGrid>
      <w:tr w:rsidR="001B0E1F" w:rsidTr="00337DBA">
        <w:trPr>
          <w:trHeight w:val="52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417"/>
            </w:tblGrid>
            <w:tr w:rsidR="008C67CF" w:rsidRPr="00E835D6" w:rsidTr="00825692">
              <w:trPr>
                <w:trHeight w:val="2462"/>
              </w:trPr>
              <w:tc>
                <w:tcPr>
                  <w:tcW w:w="9417" w:type="dxa"/>
                  <w:shd w:val="clear" w:color="auto" w:fill="auto"/>
                  <w:hideMark/>
                </w:tcPr>
                <w:p w:rsidR="008C67CF" w:rsidRPr="00C912DB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C912DB">
                    <w:rPr>
                      <w:rFonts w:ascii="Tahoma" w:hAnsi="Tahoma" w:cs="Tahoma"/>
                      <w:b/>
                      <w:sz w:val="20"/>
                    </w:rPr>
                    <w:t>Zadanie 1</w:t>
                  </w:r>
                  <w:r w:rsidR="00F70A4B">
                    <w:rPr>
                      <w:rFonts w:ascii="Tahoma" w:hAnsi="Tahoma" w:cs="Tahoma"/>
                      <w:b/>
                      <w:sz w:val="20"/>
                    </w:rPr>
                    <w:t>b</w:t>
                  </w:r>
                </w:p>
                <w:p w:rsidR="008C67CF" w:rsidRPr="00E835D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 xml:space="preserve">Przedmiot Zamówienia: </w:t>
                  </w:r>
                  <w:r w:rsidRPr="00E835D6">
                    <w:rPr>
                      <w:rFonts w:ascii="Tahoma" w:hAnsi="Tahoma" w:cs="Tahoma"/>
                      <w:b/>
                      <w:sz w:val="20"/>
                    </w:rPr>
                    <w:t xml:space="preserve">Analizator 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  <w:r w:rsidR="00F70A4B">
                    <w:rPr>
                      <w:rFonts w:ascii="Tahoma" w:hAnsi="Tahoma" w:cs="Tahoma"/>
                      <w:b/>
                      <w:sz w:val="20"/>
                    </w:rPr>
                    <w:t xml:space="preserve"> </w:t>
                  </w:r>
                </w:p>
                <w:p w:rsidR="008C67CF" w:rsidRPr="00E835D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>Nazwa i typ/model:</w:t>
                  </w:r>
                </w:p>
                <w:p w:rsidR="008C67CF" w:rsidRPr="00E835D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>Producent:</w:t>
                  </w:r>
                </w:p>
                <w:p w:rsidR="008C67CF" w:rsidRPr="00C912DB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</w:rPr>
                  </w:pPr>
                  <w:r w:rsidRPr="00E835D6">
                    <w:rPr>
                      <w:rFonts w:ascii="Tahoma" w:hAnsi="Tahoma" w:cs="Tahoma"/>
                      <w:sz w:val="20"/>
                    </w:rPr>
                    <w:t xml:space="preserve">Rok produkcji </w:t>
                  </w:r>
                  <w:r w:rsidR="00F70A4B">
                    <w:rPr>
                      <w:rFonts w:ascii="Tahoma" w:hAnsi="Tahoma" w:cs="Tahoma"/>
                      <w:sz w:val="20"/>
                    </w:rPr>
                    <w:t xml:space="preserve"> 2019</w:t>
                  </w:r>
                  <w:r>
                    <w:rPr>
                      <w:rFonts w:ascii="Tahoma" w:hAnsi="Tahoma" w:cs="Tahoma"/>
                      <w:sz w:val="20"/>
                    </w:rPr>
                    <w:t>r</w:t>
                  </w:r>
                </w:p>
              </w:tc>
            </w:tr>
          </w:tbl>
          <w:p w:rsidR="001B0E1F" w:rsidRDefault="001B0E1F" w:rsidP="00337DBA"/>
        </w:tc>
      </w:tr>
      <w:tr w:rsidR="001B0E1F" w:rsidTr="00337DBA">
        <w:trPr>
          <w:trHeight w:val="527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Lp.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Parametry wymagane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1B0E1F" w:rsidRDefault="001B0E1F" w:rsidP="00337DBA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Warunek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B0E1F" w:rsidRDefault="00E60363" w:rsidP="00337DBA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lang w:eastAsia="pl-PL"/>
              </w:rPr>
              <w:t>Parametry oferowane</w:t>
            </w:r>
          </w:p>
        </w:tc>
      </w:tr>
      <w:tr w:rsidR="001F3637" w:rsidTr="00DA1B50">
        <w:trPr>
          <w:trHeight w:val="537"/>
        </w:trPr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 xml:space="preserve">Dwa jednakowe  analizatory 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koagulologiczne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 xml:space="preserve"> (główny – fabrycznie nowy -rok produkcji 2019,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back-up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 xml:space="preserve"> - rok produkcji nie dalej niż 2014), pracujące na tych samych </w:t>
            </w:r>
            <w:r>
              <w:rPr>
                <w:rFonts w:ascii="Tahoma" w:hAnsi="Tahoma" w:cs="Tahoma"/>
                <w:sz w:val="20"/>
                <w:szCs w:val="20"/>
              </w:rPr>
              <w:t>odczynnikach,</w:t>
            </w:r>
            <w:r w:rsidRPr="001F3637">
              <w:rPr>
                <w:rFonts w:ascii="Tahoma" w:hAnsi="Tahoma" w:cs="Tahoma"/>
                <w:sz w:val="20"/>
                <w:szCs w:val="20"/>
              </w:rPr>
              <w:t xml:space="preserve"> odczynniki i analizatory tego samego producenta . 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TAK, podać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rPr>
          <w:trHeight w:val="558"/>
        </w:trPr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 xml:space="preserve">Wydajność analizatora: minimum 100 oznaczeń PT/godz. i 100 oznaczeń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aPTT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>/godz.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TAK. podać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 xml:space="preserve"> Analizatory  w pełni zautomatyzowane pracujące metodami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krzepnięciowymi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 xml:space="preserve"> /na zasadzie optycznej/,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chromogennymi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 xml:space="preserve">  oraz immunologicznym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337DBA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 xml:space="preserve">Automatyczne układy kompensacji zmętnienia pierwotnego (możliwość pomiaru osoczy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lipemicznych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zhemolizowanych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>, żółtaczkowych).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337DBA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>Pomiar stężenia fibrynogenu metodą Clausa.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>Praca z minimum 2 seriami tego samego odczynnika (pamięć krzywych kalibracyjnych).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TAK, podać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>Możliwość kalibracji INR i ustawienia własnego czasu prawidłowego osocza.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pStyle w:val="Indeks"/>
              <w:suppressLineNumbers w:val="0"/>
              <w:jc w:val="both"/>
              <w:rPr>
                <w:rFonts w:ascii="Tahoma" w:hAnsi="Tahoma" w:cs="Tahoma"/>
                <w:highlight w:val="yellow"/>
              </w:rPr>
            </w:pPr>
            <w:r w:rsidRPr="001F3637">
              <w:rPr>
                <w:rFonts w:ascii="Tahoma" w:hAnsi="Tahoma" w:cs="Tahoma"/>
              </w:rPr>
              <w:t xml:space="preserve">Zautomatyzowany odczyt </w:t>
            </w:r>
            <w:proofErr w:type="spellStart"/>
            <w:r w:rsidRPr="001F3637">
              <w:rPr>
                <w:rFonts w:ascii="Tahoma" w:hAnsi="Tahoma" w:cs="Tahoma"/>
              </w:rPr>
              <w:t>barkodowy</w:t>
            </w:r>
            <w:proofErr w:type="spellEnd"/>
            <w:r w:rsidRPr="001F3637">
              <w:rPr>
                <w:rFonts w:ascii="Tahoma" w:hAnsi="Tahoma" w:cs="Tahoma"/>
              </w:rPr>
              <w:t xml:space="preserve"> próbek  i odczynników (wewnętrzny czytnik </w:t>
            </w:r>
            <w:proofErr w:type="spellStart"/>
            <w:r w:rsidRPr="001F3637">
              <w:rPr>
                <w:rFonts w:ascii="Tahoma" w:hAnsi="Tahoma" w:cs="Tahoma"/>
              </w:rPr>
              <w:t>barkodów</w:t>
            </w:r>
            <w:proofErr w:type="spellEnd"/>
            <w:r w:rsidRPr="001F3637">
              <w:rPr>
                <w:rFonts w:ascii="Tahoma" w:hAnsi="Tahoma" w:cs="Tahoma"/>
              </w:rPr>
              <w:t xml:space="preserve"> nie wymagający manualnego, pojedynczego skanowania wkładanych na pokład materiałów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>Przebijak korków zamkniętego pobrania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>System kontrolowania odczynników (objętości, nr serii, daty ważności).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>Możliwość swobodnego doładowania odczynników, próbek, kuwet w trakcie pracy.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pStyle w:val="Indeks"/>
              <w:suppressLineNumbers w:val="0"/>
              <w:jc w:val="both"/>
              <w:rPr>
                <w:rFonts w:ascii="Tahoma" w:hAnsi="Tahoma" w:cs="Tahoma"/>
              </w:rPr>
            </w:pPr>
            <w:r w:rsidRPr="001F3637">
              <w:rPr>
                <w:rFonts w:ascii="Tahoma" w:hAnsi="Tahoma" w:cs="Tahoma"/>
              </w:rPr>
              <w:t>Możliwość wykonania badania „CITO” w trakcie pracy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 xml:space="preserve">Rozbudowany system kontroli jakości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uwzgl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 xml:space="preserve">. Karty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Levey-Jeningsa</w:t>
            </w:r>
            <w:proofErr w:type="spellEnd"/>
            <w:r w:rsidRPr="001F3637">
              <w:rPr>
                <w:rFonts w:ascii="Tahoma" w:hAnsi="Tahoma" w:cs="Tahoma"/>
                <w:sz w:val="20"/>
                <w:szCs w:val="20"/>
              </w:rPr>
              <w:t xml:space="preserve"> i reguły </w:t>
            </w:r>
            <w:proofErr w:type="spellStart"/>
            <w:r w:rsidRPr="001F3637">
              <w:rPr>
                <w:rFonts w:ascii="Tahoma" w:hAnsi="Tahoma" w:cs="Tahoma"/>
                <w:sz w:val="20"/>
                <w:szCs w:val="20"/>
              </w:rPr>
              <w:t>Westgarda</w:t>
            </w:r>
            <w:proofErr w:type="spellEnd"/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F3637" w:rsidTr="00DA1B50">
        <w:trPr>
          <w:trHeight w:val="902"/>
        </w:trPr>
        <w:tc>
          <w:tcPr>
            <w:tcW w:w="715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07" w:type="dxa"/>
          </w:tcPr>
          <w:p w:rsidR="001F3637" w:rsidRPr="001F3637" w:rsidRDefault="001F3637" w:rsidP="001B3870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 xml:space="preserve">Zapewnienie udziału w zewnętrznej kontroli </w:t>
            </w:r>
            <w:r w:rsidRPr="008E006F">
              <w:rPr>
                <w:rFonts w:ascii="Tahoma" w:hAnsi="Tahoma" w:cs="Tahoma"/>
                <w:sz w:val="20"/>
                <w:szCs w:val="20"/>
              </w:rPr>
              <w:t>międzynarodowej (potwierdzone otrzymaniem certyfikatu).</w:t>
            </w:r>
          </w:p>
        </w:tc>
        <w:tc>
          <w:tcPr>
            <w:tcW w:w="1987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1F3637" w:rsidRDefault="001F3637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7D81" w:rsidTr="00CB3680">
        <w:trPr>
          <w:trHeight w:val="902"/>
        </w:trPr>
        <w:tc>
          <w:tcPr>
            <w:tcW w:w="715" w:type="dxa"/>
            <w:vAlign w:val="center"/>
          </w:tcPr>
          <w:p w:rsidR="00E37D81" w:rsidRDefault="00E37D81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07" w:type="dxa"/>
          </w:tcPr>
          <w:p w:rsidR="00E37D81" w:rsidRPr="001F3637" w:rsidRDefault="00E37D81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 xml:space="preserve">Bezpłatny serwis w czasie trwania umowy </w:t>
            </w:r>
            <w:r w:rsidR="008E006F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1F3637">
              <w:rPr>
                <w:rFonts w:ascii="Tahoma" w:hAnsi="Tahoma" w:cs="Tahoma"/>
                <w:sz w:val="20"/>
                <w:szCs w:val="20"/>
              </w:rPr>
              <w:t>( reakcja serwisu od zgłoszenia awarii-  24 godziny) .</w:t>
            </w:r>
          </w:p>
        </w:tc>
        <w:tc>
          <w:tcPr>
            <w:tcW w:w="1987" w:type="dxa"/>
          </w:tcPr>
          <w:p w:rsidR="00E37D81" w:rsidRDefault="00E37D81" w:rsidP="00E37D81">
            <w:pPr>
              <w:jc w:val="center"/>
            </w:pPr>
            <w:r w:rsidRPr="00507A21"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E37D81" w:rsidRDefault="00E37D81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7D81" w:rsidTr="00CB3680">
        <w:trPr>
          <w:trHeight w:val="902"/>
        </w:trPr>
        <w:tc>
          <w:tcPr>
            <w:tcW w:w="715" w:type="dxa"/>
            <w:vAlign w:val="center"/>
          </w:tcPr>
          <w:p w:rsidR="00E37D81" w:rsidRDefault="00E37D81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07" w:type="dxa"/>
          </w:tcPr>
          <w:p w:rsidR="00E37D81" w:rsidRPr="001F3637" w:rsidRDefault="00E37D81" w:rsidP="001B3870">
            <w:pPr>
              <w:widowControl w:val="0"/>
              <w:tabs>
                <w:tab w:val="left" w:pos="717"/>
                <w:tab w:val="left" w:pos="184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F3637">
              <w:rPr>
                <w:rFonts w:ascii="Tahoma" w:hAnsi="Tahoma" w:cs="Tahoma"/>
                <w:sz w:val="20"/>
                <w:szCs w:val="20"/>
              </w:rPr>
              <w:t>W przypadku awarii przedłużającej się powyżej 24 godzin oferent pokrywa koszty badań wykonanych na zewnątrz laboratorium.</w:t>
            </w:r>
          </w:p>
        </w:tc>
        <w:tc>
          <w:tcPr>
            <w:tcW w:w="1987" w:type="dxa"/>
          </w:tcPr>
          <w:p w:rsidR="00E37D81" w:rsidRDefault="00E37D81" w:rsidP="00E37D81">
            <w:pPr>
              <w:jc w:val="center"/>
            </w:pPr>
            <w:r w:rsidRPr="00507A21"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E37D81" w:rsidRDefault="00E37D81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7D81" w:rsidTr="00CB3680">
        <w:trPr>
          <w:trHeight w:val="902"/>
        </w:trPr>
        <w:tc>
          <w:tcPr>
            <w:tcW w:w="715" w:type="dxa"/>
            <w:vAlign w:val="center"/>
          </w:tcPr>
          <w:p w:rsidR="00E37D81" w:rsidRDefault="00E37D81" w:rsidP="00337D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07" w:type="dxa"/>
          </w:tcPr>
          <w:p w:rsidR="00E37D81" w:rsidRPr="0069460A" w:rsidRDefault="00E37D81" w:rsidP="001B3870">
            <w:pPr>
              <w:pStyle w:val="Indeks"/>
              <w:suppressLineNumbers w:val="0"/>
              <w:jc w:val="both"/>
              <w:rPr>
                <w:rFonts w:ascii="Tahoma" w:hAnsi="Tahoma" w:cs="Tahoma"/>
              </w:rPr>
            </w:pPr>
            <w:r w:rsidRPr="0069460A">
              <w:rPr>
                <w:rFonts w:ascii="Tahoma" w:hAnsi="Tahoma" w:cs="Tahoma"/>
              </w:rPr>
              <w:t>Przystosowanie do pracy w systemie informatycznym ESKULAP firmy Konsultant Komputer – dostawca nieodpłatnie dostarczy protokoły transmisji i na własny koszt podłączy analizator do szpitalnego systemu informatycznego</w:t>
            </w:r>
          </w:p>
        </w:tc>
        <w:tc>
          <w:tcPr>
            <w:tcW w:w="1987" w:type="dxa"/>
          </w:tcPr>
          <w:p w:rsidR="00E37D81" w:rsidRDefault="00E37D81" w:rsidP="00E37D81">
            <w:pPr>
              <w:jc w:val="center"/>
            </w:pPr>
            <w:r w:rsidRPr="00507A21"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E37D81" w:rsidRDefault="00E37D81" w:rsidP="00337D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7D81" w:rsidTr="00CB3680">
        <w:trPr>
          <w:trHeight w:val="490"/>
        </w:trPr>
        <w:tc>
          <w:tcPr>
            <w:tcW w:w="715" w:type="dxa"/>
            <w:vAlign w:val="center"/>
          </w:tcPr>
          <w:p w:rsidR="00E37D81" w:rsidRDefault="00E37D81" w:rsidP="001F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507" w:type="dxa"/>
          </w:tcPr>
          <w:p w:rsidR="00E37D81" w:rsidRPr="0069460A" w:rsidRDefault="00E37D81" w:rsidP="001B3870">
            <w:pPr>
              <w:pStyle w:val="Indeks"/>
              <w:suppressLineNumbers w:val="0"/>
              <w:jc w:val="both"/>
              <w:rPr>
                <w:rFonts w:ascii="Tahoma" w:hAnsi="Tahoma" w:cs="Tahoma"/>
              </w:rPr>
            </w:pPr>
            <w:r w:rsidRPr="0069460A">
              <w:rPr>
                <w:rFonts w:ascii="Tahoma" w:hAnsi="Tahoma" w:cs="Tahoma"/>
              </w:rPr>
              <w:t>Oprogramowanie aparatu w języku polskim</w:t>
            </w:r>
          </w:p>
        </w:tc>
        <w:tc>
          <w:tcPr>
            <w:tcW w:w="1987" w:type="dxa"/>
          </w:tcPr>
          <w:p w:rsidR="00E37D81" w:rsidRDefault="00E37D81" w:rsidP="00E37D81">
            <w:pPr>
              <w:jc w:val="center"/>
            </w:pPr>
            <w:r w:rsidRPr="00507A21"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E37D81" w:rsidRDefault="00E37D81" w:rsidP="001F3637">
            <w:pPr>
              <w:rPr>
                <w:rFonts w:ascii="Times New Roman" w:hAnsi="Times New Roman"/>
                <w:sz w:val="24"/>
              </w:rPr>
            </w:pPr>
          </w:p>
        </w:tc>
      </w:tr>
      <w:tr w:rsidR="00E37D81" w:rsidTr="00CB3680">
        <w:trPr>
          <w:trHeight w:val="902"/>
        </w:trPr>
        <w:tc>
          <w:tcPr>
            <w:tcW w:w="715" w:type="dxa"/>
            <w:vAlign w:val="center"/>
          </w:tcPr>
          <w:p w:rsidR="00E37D81" w:rsidRDefault="00E37D81" w:rsidP="001F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07" w:type="dxa"/>
          </w:tcPr>
          <w:p w:rsidR="00E37D81" w:rsidRPr="0069460A" w:rsidRDefault="00E37D81" w:rsidP="001B3870">
            <w:pPr>
              <w:pStyle w:val="Indeks"/>
              <w:suppressLineNumbers w:val="0"/>
              <w:jc w:val="both"/>
              <w:rPr>
                <w:rFonts w:ascii="Tahoma" w:hAnsi="Tahoma" w:cs="Tahoma"/>
              </w:rPr>
            </w:pPr>
            <w:r w:rsidRPr="0069460A">
              <w:rPr>
                <w:rFonts w:ascii="Tahoma" w:hAnsi="Tahoma" w:cs="Tahoma"/>
              </w:rPr>
              <w:t>W przypadku niedoszacowania oferty, oferent zobligowany jest do pokrycia wielkości niedoszacowania do końca kontraktu.</w:t>
            </w:r>
          </w:p>
        </w:tc>
        <w:tc>
          <w:tcPr>
            <w:tcW w:w="1987" w:type="dxa"/>
          </w:tcPr>
          <w:p w:rsidR="00E37D81" w:rsidRDefault="00E37D81" w:rsidP="00E37D81">
            <w:pPr>
              <w:jc w:val="center"/>
            </w:pPr>
            <w:r w:rsidRPr="00507A21"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430" w:type="dxa"/>
            <w:vAlign w:val="center"/>
          </w:tcPr>
          <w:p w:rsidR="00E37D81" w:rsidRDefault="00E37D81" w:rsidP="001F363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9460A" w:rsidRDefault="0069460A" w:rsidP="00825692">
      <w:pPr>
        <w:rPr>
          <w:b/>
          <w:sz w:val="28"/>
          <w:szCs w:val="28"/>
        </w:rPr>
      </w:pPr>
    </w:p>
    <w:p w:rsidR="008852D2" w:rsidRPr="006E2324" w:rsidRDefault="0069460A" w:rsidP="00825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2360">
        <w:rPr>
          <w:b/>
          <w:sz w:val="28"/>
          <w:szCs w:val="28"/>
        </w:rPr>
        <w:t>„</w:t>
      </w:r>
      <w:r w:rsidR="006E2324" w:rsidRPr="006E2324">
        <w:rPr>
          <w:b/>
          <w:sz w:val="28"/>
          <w:szCs w:val="28"/>
        </w:rPr>
        <w:t>Jakość</w:t>
      </w:r>
      <w:r w:rsidR="00D72360">
        <w:rPr>
          <w:b/>
          <w:sz w:val="28"/>
          <w:szCs w:val="28"/>
        </w:rPr>
        <w:t>”</w:t>
      </w:r>
    </w:p>
    <w:tbl>
      <w:tblPr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2410"/>
        <w:gridCol w:w="2409"/>
      </w:tblGrid>
      <w:tr w:rsidR="0069460A" w:rsidRPr="00DC2492" w:rsidTr="0069460A">
        <w:tc>
          <w:tcPr>
            <w:tcW w:w="567" w:type="dxa"/>
          </w:tcPr>
          <w:p w:rsidR="0069460A" w:rsidRPr="00DC2492" w:rsidRDefault="0069460A" w:rsidP="001B3870">
            <w:pPr>
              <w:pStyle w:val="Zawartotabeli"/>
              <w:rPr>
                <w:rFonts w:ascii="Tahoma" w:hAnsi="Tahoma" w:cs="Tahoma"/>
                <w:b/>
                <w:sz w:val="20"/>
              </w:rPr>
            </w:pPr>
            <w:r w:rsidRPr="00DC2492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253" w:type="dxa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b/>
                <w:sz w:val="20"/>
              </w:rPr>
            </w:pPr>
            <w:r w:rsidRPr="00DC2492">
              <w:rPr>
                <w:rFonts w:ascii="Tahoma" w:hAnsi="Tahoma" w:cs="Tahoma"/>
                <w:b/>
                <w:sz w:val="20"/>
              </w:rPr>
              <w:t>Parametry oceniane</w:t>
            </w:r>
          </w:p>
        </w:tc>
        <w:tc>
          <w:tcPr>
            <w:tcW w:w="2410" w:type="dxa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b/>
                <w:sz w:val="20"/>
              </w:rPr>
            </w:pPr>
            <w:r w:rsidRPr="00DC2492">
              <w:rPr>
                <w:rFonts w:ascii="Tahoma" w:hAnsi="Tahoma" w:cs="Tahoma"/>
                <w:b/>
                <w:sz w:val="20"/>
              </w:rPr>
              <w:t>Sposób oceny</w:t>
            </w:r>
          </w:p>
        </w:tc>
        <w:tc>
          <w:tcPr>
            <w:tcW w:w="2409" w:type="dxa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b/>
                <w:sz w:val="20"/>
              </w:rPr>
            </w:pPr>
            <w:r w:rsidRPr="00DC2492">
              <w:rPr>
                <w:rFonts w:ascii="Tahoma" w:hAnsi="Tahoma" w:cs="Tahoma"/>
                <w:b/>
                <w:sz w:val="20"/>
              </w:rPr>
              <w:t>Ilość punktów</w:t>
            </w:r>
          </w:p>
        </w:tc>
      </w:tr>
      <w:tr w:rsidR="0069460A" w:rsidRPr="00DC2492" w:rsidTr="0069460A">
        <w:tc>
          <w:tcPr>
            <w:tcW w:w="567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69460A" w:rsidRPr="00DC2492" w:rsidRDefault="0069460A" w:rsidP="001B3870">
            <w:pPr>
              <w:spacing w:before="27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C2492">
              <w:rPr>
                <w:rFonts w:ascii="Tahoma" w:hAnsi="Tahoma" w:cs="Tahoma"/>
                <w:color w:val="000000"/>
                <w:sz w:val="20"/>
                <w:szCs w:val="20"/>
              </w:rPr>
              <w:t>Trwałe źródło światła nie podlegające wymianie przez cały okres użytkowania</w:t>
            </w:r>
            <w:r w:rsidRPr="00DC24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TAK – 5</w:t>
            </w:r>
          </w:p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NIE - 0</w:t>
            </w:r>
          </w:p>
        </w:tc>
        <w:tc>
          <w:tcPr>
            <w:tcW w:w="2409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9460A" w:rsidRPr="00DC2492" w:rsidTr="0069460A">
        <w:tc>
          <w:tcPr>
            <w:tcW w:w="567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69460A" w:rsidRPr="00DC2492" w:rsidRDefault="0069460A" w:rsidP="001B3870">
            <w:pPr>
              <w:pStyle w:val="Zawartotabeli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color w:val="000000"/>
                <w:sz w:val="20"/>
                <w:lang w:eastAsia="pl-PL"/>
              </w:rPr>
              <w:t>Możliwość wstawienia do aparatu materiału kontrolnego w oryginalnej buteleczce bez konieczności przelewania</w:t>
            </w:r>
          </w:p>
        </w:tc>
        <w:tc>
          <w:tcPr>
            <w:tcW w:w="2410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TAK – 5</w:t>
            </w:r>
          </w:p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NIE – 0</w:t>
            </w:r>
          </w:p>
        </w:tc>
        <w:tc>
          <w:tcPr>
            <w:tcW w:w="2409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9460A" w:rsidRPr="00DC2492" w:rsidTr="0069460A">
        <w:tc>
          <w:tcPr>
            <w:tcW w:w="567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69460A" w:rsidRPr="00DC2492" w:rsidRDefault="0069460A" w:rsidP="001B3870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C2492">
              <w:rPr>
                <w:rFonts w:ascii="Tahoma" w:hAnsi="Tahoma" w:cs="Tahoma"/>
                <w:color w:val="000000"/>
                <w:sz w:val="20"/>
                <w:szCs w:val="20"/>
              </w:rPr>
              <w:t>Próbki cito w każdej pozycji probówkowej z możliwością przeprogramowania próbki z rutynowej na pilną</w:t>
            </w:r>
            <w:r w:rsidRPr="00DC24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TAK – 5</w:t>
            </w:r>
          </w:p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NIE – 0</w:t>
            </w:r>
          </w:p>
        </w:tc>
        <w:tc>
          <w:tcPr>
            <w:tcW w:w="2409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9460A" w:rsidRPr="00DC2492" w:rsidTr="0069460A">
        <w:tc>
          <w:tcPr>
            <w:tcW w:w="567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69460A" w:rsidRPr="00DC2492" w:rsidRDefault="0069460A" w:rsidP="001B3870">
            <w:pPr>
              <w:spacing w:before="100" w:beforeAutospacing="1" w:line="205" w:lineRule="atLeast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C2492">
              <w:rPr>
                <w:rFonts w:ascii="Tahoma" w:hAnsi="Tahoma" w:cs="Tahoma"/>
                <w:sz w:val="20"/>
                <w:szCs w:val="20"/>
              </w:rPr>
              <w:t>Płynne odczynniki do D-dimerów wraz z kontrolami  (fiolki materiału kontrolnego  nie większe niż 1 ml)</w:t>
            </w:r>
          </w:p>
        </w:tc>
        <w:tc>
          <w:tcPr>
            <w:tcW w:w="2410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TAK – 5</w:t>
            </w:r>
          </w:p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NIE – 0</w:t>
            </w:r>
          </w:p>
        </w:tc>
        <w:tc>
          <w:tcPr>
            <w:tcW w:w="2409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9460A" w:rsidRPr="00DC2492" w:rsidTr="0069460A">
        <w:tc>
          <w:tcPr>
            <w:tcW w:w="567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69460A" w:rsidRPr="00DC2492" w:rsidRDefault="0069460A" w:rsidP="001B3870">
            <w:pPr>
              <w:spacing w:before="100" w:beforeAutospacing="1" w:line="205" w:lineRule="atLeast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C2492">
              <w:rPr>
                <w:rFonts w:ascii="Tahoma" w:hAnsi="Tahoma" w:cs="Tahoma"/>
                <w:sz w:val="20"/>
                <w:szCs w:val="20"/>
              </w:rPr>
              <w:t xml:space="preserve">Liniowość D-dimerów min 7600 </w:t>
            </w:r>
            <w:proofErr w:type="spellStart"/>
            <w:r w:rsidRPr="00DC2492">
              <w:rPr>
                <w:rFonts w:ascii="Tahoma" w:hAnsi="Tahoma" w:cs="Tahoma"/>
                <w:sz w:val="20"/>
                <w:szCs w:val="20"/>
              </w:rPr>
              <w:t>ng</w:t>
            </w:r>
            <w:proofErr w:type="spellEnd"/>
            <w:r w:rsidRPr="00DC2492">
              <w:rPr>
                <w:rFonts w:ascii="Tahoma" w:hAnsi="Tahoma" w:cs="Tahoma"/>
                <w:sz w:val="20"/>
                <w:szCs w:val="20"/>
              </w:rPr>
              <w:t>/ml FEU w pierwszym badaniu</w:t>
            </w:r>
          </w:p>
        </w:tc>
        <w:tc>
          <w:tcPr>
            <w:tcW w:w="2410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TAK – 10</w:t>
            </w:r>
          </w:p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 w:rsidRPr="00DC2492">
              <w:rPr>
                <w:rFonts w:ascii="Tahoma" w:hAnsi="Tahoma" w:cs="Tahoma"/>
                <w:sz w:val="20"/>
              </w:rPr>
              <w:t>NIE – 0</w:t>
            </w:r>
          </w:p>
        </w:tc>
        <w:tc>
          <w:tcPr>
            <w:tcW w:w="2409" w:type="dxa"/>
            <w:vAlign w:val="center"/>
          </w:tcPr>
          <w:p w:rsidR="0069460A" w:rsidRPr="00DC2492" w:rsidRDefault="0069460A" w:rsidP="001B3870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72360" w:rsidRDefault="00D72360" w:rsidP="004604E8">
      <w:pPr>
        <w:rPr>
          <w:b/>
          <w:sz w:val="28"/>
          <w:szCs w:val="28"/>
        </w:rPr>
      </w:pPr>
    </w:p>
    <w:p w:rsidR="00D72360" w:rsidRPr="002B1C5B" w:rsidRDefault="00D72360" w:rsidP="00D72360">
      <w:pPr>
        <w:ind w:left="567" w:right="467"/>
        <w:jc w:val="both"/>
        <w:rPr>
          <w:rFonts w:ascii="Tahoma" w:hAnsi="Tahoma" w:cs="Tahoma"/>
          <w:sz w:val="20"/>
        </w:rPr>
      </w:pPr>
      <w:r w:rsidRPr="002B1C5B">
        <w:rPr>
          <w:rFonts w:ascii="Tahoma" w:eastAsia="Batang" w:hAnsi="Tahoma" w:cs="Tahoma"/>
          <w:b/>
          <w:bCs/>
          <w:sz w:val="20"/>
        </w:rPr>
        <w:t>UWAGI: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Powyższe warunki graniczne stanowią wymagania odcinające.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Wszystkie parametry potwierdzone przez producenta.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Niespełnienie jednego i więcej z wymaganych powyżej parametrów oraz wymagań co do ich wartości minimalnych spowoduje odrzucenie oferty bez dalszej jej oceny.</w:t>
      </w:r>
    </w:p>
    <w:p w:rsidR="00D72360" w:rsidRPr="002B1C5B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Brak opisu traktowany będzie jako brak danego parametru w oferowanej konfiguracji urządzenia</w:t>
      </w:r>
      <w:r w:rsidR="00337DBA">
        <w:rPr>
          <w:rFonts w:ascii="Tahoma" w:eastAsia="Batang" w:hAnsi="Tahoma" w:cs="Tahoma"/>
          <w:sz w:val="20"/>
        </w:rPr>
        <w:t>.</w:t>
      </w:r>
    </w:p>
    <w:p w:rsidR="00D72360" w:rsidRPr="002B1C5B" w:rsidRDefault="00D72360" w:rsidP="00D72360">
      <w:pPr>
        <w:suppressAutoHyphens/>
        <w:autoSpaceDE w:val="0"/>
        <w:ind w:left="720"/>
        <w:jc w:val="both"/>
        <w:rPr>
          <w:rFonts w:ascii="Tahoma" w:eastAsia="Batang" w:hAnsi="Tahoma" w:cs="Tahoma"/>
          <w:sz w:val="20"/>
        </w:rPr>
      </w:pPr>
    </w:p>
    <w:p w:rsidR="00D72360" w:rsidRPr="002B1C5B" w:rsidRDefault="00D72360" w:rsidP="00D72360">
      <w:pPr>
        <w:rPr>
          <w:rFonts w:ascii="Tahoma" w:hAnsi="Tahoma" w:cs="Tahoma"/>
          <w:sz w:val="20"/>
        </w:rPr>
      </w:pPr>
    </w:p>
    <w:p w:rsidR="00D72360" w:rsidRPr="00AB6C7A" w:rsidRDefault="00D72360" w:rsidP="00AB6C7A">
      <w:pPr>
        <w:suppressAutoHyphens/>
        <w:autoSpaceDE w:val="0"/>
        <w:ind w:left="4968" w:firstLine="696"/>
        <w:jc w:val="both"/>
        <w:rPr>
          <w:rFonts w:ascii="Tahoma" w:eastAsia="Batang" w:hAnsi="Tahoma" w:cs="Tahoma"/>
          <w:sz w:val="20"/>
        </w:rPr>
      </w:pPr>
      <w:r w:rsidRPr="002B1C5B">
        <w:rPr>
          <w:rFonts w:ascii="Tahoma" w:eastAsia="Batang" w:hAnsi="Tahoma" w:cs="Tahoma"/>
          <w:sz w:val="20"/>
        </w:rPr>
        <w:t>…………………………………</w:t>
      </w:r>
      <w:r w:rsidRPr="006E2324">
        <w:rPr>
          <w:rFonts w:ascii="Tahoma" w:eastAsia="Batang" w:hAnsi="Tahoma" w:cs="Tahoma"/>
          <w:sz w:val="20"/>
        </w:rPr>
        <w:t xml:space="preserve"> </w:t>
      </w:r>
      <w:r>
        <w:rPr>
          <w:rFonts w:ascii="Tahoma" w:eastAsia="Batang" w:hAnsi="Tahoma" w:cs="Tahoma"/>
          <w:sz w:val="20"/>
        </w:rPr>
        <w:t>podpis</w:t>
      </w:r>
    </w:p>
    <w:sectPr w:rsidR="00D72360" w:rsidRPr="00AB6C7A" w:rsidSect="006E2324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22" w:rsidRDefault="00251F22" w:rsidP="001B0E1F">
      <w:pPr>
        <w:spacing w:after="0" w:line="240" w:lineRule="auto"/>
      </w:pPr>
      <w:r>
        <w:separator/>
      </w:r>
    </w:p>
  </w:endnote>
  <w:endnote w:type="continuationSeparator" w:id="0">
    <w:p w:rsidR="00251F22" w:rsidRDefault="00251F22" w:rsidP="001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22" w:rsidRDefault="00251F22" w:rsidP="001B0E1F">
      <w:pPr>
        <w:spacing w:after="0" w:line="240" w:lineRule="auto"/>
      </w:pPr>
      <w:r>
        <w:separator/>
      </w:r>
    </w:p>
  </w:footnote>
  <w:footnote w:type="continuationSeparator" w:id="0">
    <w:p w:rsidR="00251F22" w:rsidRDefault="00251F22" w:rsidP="001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8852D2" w:rsidRDefault="00E37D81" w:rsidP="006E2324">
    <w:pPr>
      <w:pStyle w:val="Nagwek"/>
      <w:tabs>
        <w:tab w:val="clear" w:pos="4536"/>
        <w:tab w:val="clear" w:pos="9072"/>
        <w:tab w:val="left" w:pos="854"/>
      </w:tabs>
    </w:pPr>
    <w:r>
      <w:t>Załącznik nr 9</w:t>
    </w:r>
    <w:r w:rsidR="00C912DB">
      <w:t xml:space="preserve"> do SIWZ                                                                                                Parametry Techniczne</w:t>
    </w:r>
    <w:r w:rsidR="006E2324">
      <w:tab/>
    </w:r>
  </w:p>
  <w:p w:rsidR="008852D2" w:rsidRDefault="008852D2">
    <w:pPr>
      <w:pStyle w:val="Nagwek"/>
    </w:pPr>
  </w:p>
  <w:p w:rsidR="009C4411" w:rsidRDefault="009C44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">
    <w:nsid w:val="31FF3169"/>
    <w:multiLevelType w:val="hybridMultilevel"/>
    <w:tmpl w:val="7562B66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0116"/>
    <w:multiLevelType w:val="hybridMultilevel"/>
    <w:tmpl w:val="B11894CC"/>
    <w:lvl w:ilvl="0" w:tplc="31AAB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A35B5"/>
    <w:multiLevelType w:val="singleLevel"/>
    <w:tmpl w:val="50A8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9E212F"/>
    <w:multiLevelType w:val="singleLevel"/>
    <w:tmpl w:val="824C05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76E2200F"/>
    <w:multiLevelType w:val="hybridMultilevel"/>
    <w:tmpl w:val="2C6A4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B0E1F"/>
    <w:rsid w:val="00017835"/>
    <w:rsid w:val="00065534"/>
    <w:rsid w:val="001B0E1F"/>
    <w:rsid w:val="001B76CB"/>
    <w:rsid w:val="001F3637"/>
    <w:rsid w:val="00251F22"/>
    <w:rsid w:val="002570D1"/>
    <w:rsid w:val="002F5EEA"/>
    <w:rsid w:val="00337DBA"/>
    <w:rsid w:val="00340285"/>
    <w:rsid w:val="00380FA4"/>
    <w:rsid w:val="003A0765"/>
    <w:rsid w:val="00402A9D"/>
    <w:rsid w:val="004604E8"/>
    <w:rsid w:val="00576311"/>
    <w:rsid w:val="005C14D7"/>
    <w:rsid w:val="005C4AD1"/>
    <w:rsid w:val="0069460A"/>
    <w:rsid w:val="006E2324"/>
    <w:rsid w:val="0071225B"/>
    <w:rsid w:val="007B54CF"/>
    <w:rsid w:val="007E42FD"/>
    <w:rsid w:val="00825692"/>
    <w:rsid w:val="0084505F"/>
    <w:rsid w:val="008852D2"/>
    <w:rsid w:val="008C67CF"/>
    <w:rsid w:val="008E006F"/>
    <w:rsid w:val="009A4B40"/>
    <w:rsid w:val="009C4411"/>
    <w:rsid w:val="00A542C6"/>
    <w:rsid w:val="00AB6C7A"/>
    <w:rsid w:val="00AE705B"/>
    <w:rsid w:val="00B63C4A"/>
    <w:rsid w:val="00B87330"/>
    <w:rsid w:val="00C675F1"/>
    <w:rsid w:val="00C912DB"/>
    <w:rsid w:val="00CF3B00"/>
    <w:rsid w:val="00D72360"/>
    <w:rsid w:val="00D74AF9"/>
    <w:rsid w:val="00D9245C"/>
    <w:rsid w:val="00E37D81"/>
    <w:rsid w:val="00E47829"/>
    <w:rsid w:val="00E60363"/>
    <w:rsid w:val="00E847FC"/>
    <w:rsid w:val="00F47140"/>
    <w:rsid w:val="00F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E1F"/>
    <w:pPr>
      <w:keepNext/>
      <w:spacing w:after="0" w:line="240" w:lineRule="auto"/>
      <w:ind w:left="114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E1F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5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1F36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FBDE-A7CB-4F08-822E-211A1121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14</cp:revision>
  <dcterms:created xsi:type="dcterms:W3CDTF">2017-12-13T08:27:00Z</dcterms:created>
  <dcterms:modified xsi:type="dcterms:W3CDTF">2019-08-05T06:19:00Z</dcterms:modified>
</cp:coreProperties>
</file>